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6335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14:paraId="30BCAD22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3F067F">
        <w:rPr>
          <w:sz w:val="18"/>
          <w:szCs w:val="18"/>
        </w:rPr>
        <w:t>Fall 2014</w:t>
      </w:r>
      <w:bookmarkStart w:id="0" w:name="_GoBack"/>
      <w:bookmarkEnd w:id="0"/>
    </w:p>
    <w:p w14:paraId="514AB5FC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3A346D13" w14:textId="77777777" w:rsidR="00621F35" w:rsidRPr="006705B5" w:rsidRDefault="00621F35" w:rsidP="006705B5">
      <w:pPr>
        <w:spacing w:after="0"/>
        <w:jc w:val="center"/>
        <w:rPr>
          <w:b/>
          <w:sz w:val="18"/>
          <w:szCs w:val="18"/>
        </w:rPr>
      </w:pPr>
      <w:r w:rsidRPr="006705B5">
        <w:rPr>
          <w:b/>
          <w:sz w:val="18"/>
          <w:szCs w:val="18"/>
        </w:rPr>
        <w:t>Elementary Education and Mathematics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58F6D346" w14:textId="77777777">
        <w:tc>
          <w:tcPr>
            <w:tcW w:w="5004" w:type="dxa"/>
            <w:gridSpan w:val="3"/>
            <w:shd w:val="clear" w:color="auto" w:fill="FDE9D9"/>
          </w:tcPr>
          <w:p w14:paraId="0849344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7B67D22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6DBD4451" w14:textId="77777777">
        <w:tc>
          <w:tcPr>
            <w:tcW w:w="10008" w:type="dxa"/>
            <w:gridSpan w:val="5"/>
            <w:shd w:val="clear" w:color="auto" w:fill="FDE9D9"/>
          </w:tcPr>
          <w:p w14:paraId="101416D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481A6FD9" w14:textId="77777777">
        <w:tc>
          <w:tcPr>
            <w:tcW w:w="2988" w:type="dxa"/>
          </w:tcPr>
          <w:p w14:paraId="10F2CE3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4DDCDD8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2D2B78E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77CB2A1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79D426EC" w14:textId="77777777">
        <w:tc>
          <w:tcPr>
            <w:tcW w:w="2988" w:type="dxa"/>
          </w:tcPr>
          <w:p w14:paraId="3941BA5D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2997562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2DD1043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469C6B7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1A457D37" w14:textId="77777777">
        <w:tc>
          <w:tcPr>
            <w:tcW w:w="2988" w:type="dxa"/>
          </w:tcPr>
          <w:p w14:paraId="5AE61263" w14:textId="77777777" w:rsidR="006705B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475C341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3747EF5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 xml:space="preserve">225 Children’s Literature </w:t>
            </w:r>
          </w:p>
        </w:tc>
        <w:tc>
          <w:tcPr>
            <w:tcW w:w="1890" w:type="dxa"/>
          </w:tcPr>
          <w:p w14:paraId="5DB595E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</w:tr>
      <w:tr w:rsidR="00621F35" w:rsidRPr="006705B5" w14:paraId="4B678A20" w14:textId="77777777">
        <w:tc>
          <w:tcPr>
            <w:tcW w:w="2988" w:type="dxa"/>
          </w:tcPr>
          <w:p w14:paraId="76E171D5" w14:textId="77777777" w:rsidR="00621F35" w:rsidRPr="006705B5" w:rsidRDefault="00D772EE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200 Proof Writing Through Discrete Mathematics</w:t>
            </w:r>
          </w:p>
        </w:tc>
        <w:tc>
          <w:tcPr>
            <w:tcW w:w="1980" w:type="dxa"/>
          </w:tcPr>
          <w:p w14:paraId="41D8E3D4" w14:textId="77777777" w:rsidR="00621F3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38A901C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D772EE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46B5E6E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19A485FB" w14:textId="77777777">
        <w:tc>
          <w:tcPr>
            <w:tcW w:w="2988" w:type="dxa"/>
          </w:tcPr>
          <w:p w14:paraId="5E2ACA89" w14:textId="77777777" w:rsidR="00621F35" w:rsidRPr="006705B5" w:rsidRDefault="00C94791" w:rsidP="00D772E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10</w:t>
            </w:r>
            <w:r w:rsidR="00D772EE">
              <w:rPr>
                <w:sz w:val="18"/>
                <w:szCs w:val="18"/>
              </w:rPr>
              <w:t>4</w:t>
            </w:r>
            <w:r w:rsidR="00621F35" w:rsidRPr="006705B5">
              <w:rPr>
                <w:sz w:val="18"/>
                <w:szCs w:val="18"/>
              </w:rPr>
              <w:t xml:space="preserve"> </w:t>
            </w:r>
            <w:r w:rsidR="00D772EE">
              <w:rPr>
                <w:sz w:val="18"/>
                <w:szCs w:val="18"/>
              </w:rPr>
              <w:t>Cancer, Genes, and the Environment</w:t>
            </w:r>
            <w:r w:rsidR="00621F35" w:rsidRPr="0067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2AA8CC9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28BDF9D4" w14:textId="77777777" w:rsidR="00621F35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890" w:type="dxa"/>
          </w:tcPr>
          <w:p w14:paraId="1B25F13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78012145" w14:textId="77777777">
        <w:tc>
          <w:tcPr>
            <w:tcW w:w="2988" w:type="dxa"/>
          </w:tcPr>
          <w:p w14:paraId="57B4B956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4B36F933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702F505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7E6BF9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5683CAB6" w14:textId="77777777">
        <w:tc>
          <w:tcPr>
            <w:tcW w:w="4968" w:type="dxa"/>
            <w:gridSpan w:val="2"/>
            <w:shd w:val="clear" w:color="auto" w:fill="DAEEF3"/>
          </w:tcPr>
          <w:p w14:paraId="5E6650E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163A52B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5D39A2D4" w14:textId="77777777">
        <w:tc>
          <w:tcPr>
            <w:tcW w:w="10008" w:type="dxa"/>
            <w:gridSpan w:val="5"/>
            <w:shd w:val="clear" w:color="auto" w:fill="DAEEF3"/>
          </w:tcPr>
          <w:p w14:paraId="1904839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1AEC4C92" w14:textId="77777777">
        <w:tc>
          <w:tcPr>
            <w:tcW w:w="2988" w:type="dxa"/>
          </w:tcPr>
          <w:p w14:paraId="072890D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3A4911D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203E7CD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1847F0C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0E5261A3" w14:textId="77777777">
        <w:tc>
          <w:tcPr>
            <w:tcW w:w="2988" w:type="dxa"/>
          </w:tcPr>
          <w:p w14:paraId="76424DC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D772EE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68AFF70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41A5D3D7" w14:textId="77777777" w:rsidR="006705B5" w:rsidRPr="006705B5" w:rsidRDefault="00621F35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D772EE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11BCAD5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25AF5FF1" w14:textId="77777777">
        <w:tc>
          <w:tcPr>
            <w:tcW w:w="2988" w:type="dxa"/>
          </w:tcPr>
          <w:p w14:paraId="09784FD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 w:rsidR="00D772EE">
              <w:rPr>
                <w:sz w:val="18"/>
                <w:szCs w:val="18"/>
              </w:rPr>
              <w:t>Linear Algebra</w:t>
            </w:r>
          </w:p>
        </w:tc>
        <w:tc>
          <w:tcPr>
            <w:tcW w:w="1980" w:type="dxa"/>
          </w:tcPr>
          <w:p w14:paraId="679B58E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4DAE4413" w14:textId="77777777" w:rsidR="006705B5" w:rsidRPr="006705B5" w:rsidRDefault="0080522E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 </w:t>
            </w:r>
            <w:r w:rsidRPr="006705B5">
              <w:rPr>
                <w:sz w:val="18"/>
                <w:szCs w:val="18"/>
              </w:rPr>
              <w:t xml:space="preserve"> 215 </w:t>
            </w:r>
            <w:r>
              <w:rPr>
                <w:sz w:val="18"/>
                <w:szCs w:val="18"/>
              </w:rPr>
              <w:t>Statistical Inference</w:t>
            </w:r>
          </w:p>
        </w:tc>
        <w:tc>
          <w:tcPr>
            <w:tcW w:w="1890" w:type="dxa"/>
          </w:tcPr>
          <w:p w14:paraId="3176628C" w14:textId="77777777" w:rsidR="00621F35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53ED694C" w14:textId="77777777">
        <w:tc>
          <w:tcPr>
            <w:tcW w:w="2988" w:type="dxa"/>
          </w:tcPr>
          <w:p w14:paraId="5400542D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2BAA21F5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8E58527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5831F824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221 Literacy, Strategies, Assessment and Instruction- Elementary</w:t>
            </w:r>
          </w:p>
        </w:tc>
        <w:tc>
          <w:tcPr>
            <w:tcW w:w="1890" w:type="dxa"/>
          </w:tcPr>
          <w:p w14:paraId="10096827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541718B8" w14:textId="77777777">
        <w:tc>
          <w:tcPr>
            <w:tcW w:w="2988" w:type="dxa"/>
          </w:tcPr>
          <w:p w14:paraId="55ED6D3D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980" w:type="dxa"/>
          </w:tcPr>
          <w:p w14:paraId="108494D4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494E506C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ELE 201 Child and Adolescent Development</w:t>
            </w:r>
          </w:p>
        </w:tc>
        <w:tc>
          <w:tcPr>
            <w:tcW w:w="1890" w:type="dxa"/>
          </w:tcPr>
          <w:p w14:paraId="5C701D0B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80522E" w:rsidRPr="006705B5" w14:paraId="051C02C5" w14:textId="77777777">
        <w:tc>
          <w:tcPr>
            <w:tcW w:w="4968" w:type="dxa"/>
            <w:gridSpan w:val="2"/>
            <w:shd w:val="clear" w:color="auto" w:fill="DBE5F1"/>
          </w:tcPr>
          <w:p w14:paraId="151C3000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756A2BB7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6D4FB349" w14:textId="77777777">
        <w:tc>
          <w:tcPr>
            <w:tcW w:w="10008" w:type="dxa"/>
            <w:gridSpan w:val="5"/>
            <w:shd w:val="clear" w:color="auto" w:fill="DBE5F1"/>
          </w:tcPr>
          <w:p w14:paraId="1EA2F9A3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80522E" w:rsidRPr="006705B5" w14:paraId="6A5B121D" w14:textId="77777777">
        <w:tc>
          <w:tcPr>
            <w:tcW w:w="2988" w:type="dxa"/>
          </w:tcPr>
          <w:p w14:paraId="259DE5E4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358924BC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6953100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29A73D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43898DBB" w14:textId="77777777">
        <w:tc>
          <w:tcPr>
            <w:tcW w:w="2988" w:type="dxa"/>
          </w:tcPr>
          <w:p w14:paraId="42D2CAE9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2BBF2776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  <w:tc>
          <w:tcPr>
            <w:tcW w:w="3150" w:type="dxa"/>
            <w:gridSpan w:val="2"/>
          </w:tcPr>
          <w:p w14:paraId="5F599309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  <w:r w:rsidRPr="006705B5">
              <w:rPr>
                <w:sz w:val="18"/>
                <w:szCs w:val="18"/>
              </w:rPr>
              <w:t xml:space="preserve">E 301 Advanced Core Block: Integrating &amp; Differentiating Instruction for All Learners </w:t>
            </w:r>
          </w:p>
        </w:tc>
        <w:tc>
          <w:tcPr>
            <w:tcW w:w="1890" w:type="dxa"/>
          </w:tcPr>
          <w:p w14:paraId="0A6AB0D1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3A0DEEA9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</w:tr>
      <w:tr w:rsidR="0080522E" w:rsidRPr="006705B5" w14:paraId="3ACD4CC7" w14:textId="77777777">
        <w:tc>
          <w:tcPr>
            <w:tcW w:w="2988" w:type="dxa"/>
          </w:tcPr>
          <w:p w14:paraId="0F0F0B97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  <w:p w14:paraId="4F3C4C5D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74A6194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5B8E43C7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7BCB2166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1469B77D" w14:textId="77777777">
        <w:tc>
          <w:tcPr>
            <w:tcW w:w="2988" w:type="dxa"/>
          </w:tcPr>
          <w:p w14:paraId="7107388B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</w:p>
        </w:tc>
        <w:tc>
          <w:tcPr>
            <w:tcW w:w="1980" w:type="dxa"/>
          </w:tcPr>
          <w:p w14:paraId="3D112CEC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56F54076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32</w:t>
            </w:r>
            <w:r>
              <w:rPr>
                <w:sz w:val="18"/>
                <w:szCs w:val="18"/>
              </w:rPr>
              <w:t>1</w:t>
            </w:r>
            <w:r w:rsidRPr="006705B5">
              <w:rPr>
                <w:sz w:val="18"/>
                <w:szCs w:val="18"/>
              </w:rPr>
              <w:t xml:space="preserve"> Literacy Learning Across the Curriculum-</w:t>
            </w:r>
            <w:r>
              <w:rPr>
                <w:sz w:val="18"/>
                <w:szCs w:val="18"/>
              </w:rPr>
              <w:t>Elementary</w:t>
            </w:r>
          </w:p>
        </w:tc>
        <w:tc>
          <w:tcPr>
            <w:tcW w:w="1890" w:type="dxa"/>
          </w:tcPr>
          <w:p w14:paraId="19B6C9D5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69FFF450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36B0F859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316</w:t>
            </w:r>
            <w:r>
              <w:rPr>
                <w:sz w:val="18"/>
                <w:szCs w:val="18"/>
              </w:rPr>
              <w:t xml:space="preserve"> Probability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34422D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5DB9C00" w14:textId="77777777" w:rsidR="0080522E" w:rsidRPr="006705B5" w:rsidRDefault="0080522E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4FC9C2C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0522E" w:rsidRPr="006705B5" w14:paraId="553E1863" w14:textId="77777777">
        <w:tc>
          <w:tcPr>
            <w:tcW w:w="4968" w:type="dxa"/>
            <w:gridSpan w:val="2"/>
            <w:shd w:val="clear" w:color="auto" w:fill="F2DBDB"/>
          </w:tcPr>
          <w:p w14:paraId="1B4C80F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60FC971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407BBB2D" w14:textId="77777777">
        <w:tc>
          <w:tcPr>
            <w:tcW w:w="10008" w:type="dxa"/>
            <w:gridSpan w:val="5"/>
            <w:shd w:val="clear" w:color="auto" w:fill="F2DBDB"/>
          </w:tcPr>
          <w:p w14:paraId="4A3A7A8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80522E" w:rsidRPr="006705B5" w14:paraId="282831FB" w14:textId="77777777">
        <w:tc>
          <w:tcPr>
            <w:tcW w:w="2988" w:type="dxa"/>
          </w:tcPr>
          <w:p w14:paraId="65C88C4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9BA8550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63994220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98AAD54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594C469A" w14:textId="77777777">
        <w:trPr>
          <w:trHeight w:val="20"/>
        </w:trPr>
        <w:tc>
          <w:tcPr>
            <w:tcW w:w="2988" w:type="dxa"/>
            <w:vMerge w:val="restart"/>
          </w:tcPr>
          <w:p w14:paraId="2912221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ELE 490 Senior Experience: Student Teaching </w:t>
            </w:r>
          </w:p>
        </w:tc>
        <w:tc>
          <w:tcPr>
            <w:tcW w:w="1980" w:type="dxa"/>
            <w:vMerge w:val="restart"/>
          </w:tcPr>
          <w:p w14:paraId="37B24670" w14:textId="77777777" w:rsidR="0080522E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4D45031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  <w:tc>
          <w:tcPr>
            <w:tcW w:w="3150" w:type="dxa"/>
            <w:gridSpan w:val="2"/>
          </w:tcPr>
          <w:p w14:paraId="6B9553DD" w14:textId="77777777" w:rsidR="0080522E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  <w:p w14:paraId="5ABF2771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258F217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80522E" w:rsidRPr="006705B5" w14:paraId="0572A46B" w14:textId="77777777">
        <w:trPr>
          <w:trHeight w:val="20"/>
        </w:trPr>
        <w:tc>
          <w:tcPr>
            <w:tcW w:w="2988" w:type="dxa"/>
            <w:vMerge/>
          </w:tcPr>
          <w:p w14:paraId="5E3D71A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763E59E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510CCAC3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72CB89CE" w14:textId="77777777" w:rsidR="0080522E" w:rsidRPr="006705B5" w:rsidRDefault="0080522E" w:rsidP="00E935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0BC358AB" w14:textId="77777777">
        <w:trPr>
          <w:trHeight w:val="20"/>
        </w:trPr>
        <w:tc>
          <w:tcPr>
            <w:tcW w:w="2988" w:type="dxa"/>
          </w:tcPr>
          <w:p w14:paraId="1A1A44A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ELE 498 Inquiry Into Learning (Capstone)</w:t>
            </w:r>
          </w:p>
        </w:tc>
        <w:tc>
          <w:tcPr>
            <w:tcW w:w="1980" w:type="dxa"/>
          </w:tcPr>
          <w:p w14:paraId="7CC8CC2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sciences course taken with student teaching</w:t>
            </w:r>
          </w:p>
        </w:tc>
        <w:tc>
          <w:tcPr>
            <w:tcW w:w="3150" w:type="dxa"/>
            <w:gridSpan w:val="2"/>
          </w:tcPr>
          <w:p w14:paraId="3E4DD0CF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Free Elective*</w:t>
            </w:r>
          </w:p>
        </w:tc>
        <w:tc>
          <w:tcPr>
            <w:tcW w:w="1890" w:type="dxa"/>
          </w:tcPr>
          <w:p w14:paraId="4A5075C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0522E" w:rsidRPr="006705B5" w14:paraId="35638E20" w14:textId="77777777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602D57E2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Free elective- Must be taken at another time**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91690B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Full time semester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377B312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/STA</w:t>
            </w:r>
            <w:r w:rsidRPr="006705B5">
              <w:rPr>
                <w:sz w:val="18"/>
                <w:szCs w:val="18"/>
              </w:rPr>
              <w:t xml:space="preserve"> OPTION</w:t>
            </w:r>
            <w:r>
              <w:rPr>
                <w:sz w:val="18"/>
                <w:szCs w:val="18"/>
              </w:rPr>
              <w:t>***see attached list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1D9ED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</w:tbl>
    <w:p w14:paraId="47502A4E" w14:textId="77777777" w:rsidR="00621F35" w:rsidRPr="006705B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0D049E7F" w14:textId="77777777">
        <w:trPr>
          <w:trHeight w:val="865"/>
        </w:trPr>
        <w:tc>
          <w:tcPr>
            <w:tcW w:w="10008" w:type="dxa"/>
            <w:shd w:val="clear" w:color="auto" w:fill="FDE9D9"/>
          </w:tcPr>
          <w:p w14:paraId="6973D384" w14:textId="77777777" w:rsidR="00621F35" w:rsidRPr="006705B5" w:rsidRDefault="00DC7A88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*</w:t>
            </w:r>
            <w:r w:rsidR="00621F35" w:rsidRPr="006705B5">
              <w:rPr>
                <w:sz w:val="18"/>
                <w:szCs w:val="18"/>
              </w:rPr>
              <w:t>*This course must be taken</w:t>
            </w:r>
          </w:p>
          <w:p w14:paraId="1B865F5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in any May Semester or Summer Session or  in any semester except Senior Student Teaching</w:t>
            </w:r>
          </w:p>
        </w:tc>
      </w:tr>
      <w:tr w:rsidR="00621F35" w:rsidRPr="006705B5" w14:paraId="2CB68C99" w14:textId="77777777">
        <w:tc>
          <w:tcPr>
            <w:tcW w:w="10008" w:type="dxa"/>
          </w:tcPr>
          <w:p w14:paraId="054114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723CA37E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1B5917C8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43F202A3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221 and ELE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365BFCC9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01FD6F22" w14:textId="77777777" w:rsidR="00621F35" w:rsidRPr="006705B5" w:rsidRDefault="00DF258E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above</w:t>
      </w:r>
      <w:r w:rsidR="00621F35" w:rsidRPr="006705B5">
        <w:rPr>
          <w:sz w:val="18"/>
          <w:szCs w:val="18"/>
        </w:rPr>
        <w:t xml:space="preserve"> courses are prerequisites to ELE</w:t>
      </w:r>
      <w:r w:rsidR="003963E5" w:rsidRPr="006705B5">
        <w:rPr>
          <w:sz w:val="18"/>
          <w:szCs w:val="18"/>
        </w:rPr>
        <w:t xml:space="preserve"> </w:t>
      </w:r>
      <w:r w:rsidR="00621F35" w:rsidRPr="006705B5">
        <w:rPr>
          <w:sz w:val="18"/>
          <w:szCs w:val="18"/>
        </w:rPr>
        <w:t>301.</w:t>
      </w:r>
    </w:p>
    <w:p w14:paraId="729D2318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It is recommended that ELE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301 be taken with 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321 and SOM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203.  In the event that this prevents the student from completing the major courses, flexibility in scheduling these courses is recommended.</w:t>
      </w:r>
    </w:p>
    <w:p w14:paraId="11585552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04CDF01A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6B80C998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46C2B63E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000E" w14:textId="77777777" w:rsidR="001A7C0E" w:rsidRDefault="001A7C0E">
      <w:pPr>
        <w:spacing w:after="0" w:line="240" w:lineRule="auto"/>
      </w:pPr>
      <w:r>
        <w:separator/>
      </w:r>
    </w:p>
  </w:endnote>
  <w:endnote w:type="continuationSeparator" w:id="0">
    <w:p w14:paraId="77F52C2E" w14:textId="77777777" w:rsidR="001A7C0E" w:rsidRDefault="001A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4343" w14:textId="77777777" w:rsidR="001A7C0E" w:rsidRDefault="001A7C0E">
      <w:pPr>
        <w:spacing w:after="0" w:line="240" w:lineRule="auto"/>
      </w:pPr>
      <w:r>
        <w:separator/>
      </w:r>
    </w:p>
  </w:footnote>
  <w:footnote w:type="continuationSeparator" w:id="0">
    <w:p w14:paraId="12BD4796" w14:textId="77777777" w:rsidR="001A7C0E" w:rsidRDefault="001A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865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77"/>
    <w:rsid w:val="00013124"/>
    <w:rsid w:val="000E383E"/>
    <w:rsid w:val="000F6DFE"/>
    <w:rsid w:val="00166CA1"/>
    <w:rsid w:val="001A5A8C"/>
    <w:rsid w:val="001A7C0E"/>
    <w:rsid w:val="00204ABF"/>
    <w:rsid w:val="00225C3D"/>
    <w:rsid w:val="00227F80"/>
    <w:rsid w:val="002974B1"/>
    <w:rsid w:val="002C2E1D"/>
    <w:rsid w:val="003963E5"/>
    <w:rsid w:val="003F067F"/>
    <w:rsid w:val="004612F1"/>
    <w:rsid w:val="004A3CED"/>
    <w:rsid w:val="004A4077"/>
    <w:rsid w:val="004F60DA"/>
    <w:rsid w:val="00540AA4"/>
    <w:rsid w:val="005413A7"/>
    <w:rsid w:val="00621F35"/>
    <w:rsid w:val="006705B5"/>
    <w:rsid w:val="006B0D55"/>
    <w:rsid w:val="006C6ABC"/>
    <w:rsid w:val="007045CA"/>
    <w:rsid w:val="0080522E"/>
    <w:rsid w:val="008A6A0A"/>
    <w:rsid w:val="009415A1"/>
    <w:rsid w:val="009A1A9F"/>
    <w:rsid w:val="009C55B0"/>
    <w:rsid w:val="009F4FFE"/>
    <w:rsid w:val="00A06B88"/>
    <w:rsid w:val="00A453E7"/>
    <w:rsid w:val="00B95189"/>
    <w:rsid w:val="00BD4403"/>
    <w:rsid w:val="00C80A3D"/>
    <w:rsid w:val="00C94791"/>
    <w:rsid w:val="00D074A3"/>
    <w:rsid w:val="00D772EE"/>
    <w:rsid w:val="00DC7A88"/>
    <w:rsid w:val="00DF1321"/>
    <w:rsid w:val="00DF258E"/>
    <w:rsid w:val="00E935DE"/>
    <w:rsid w:val="00EE5E5E"/>
    <w:rsid w:val="00F1408B"/>
    <w:rsid w:val="00F327E2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4BA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BD440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subject/>
  <dc:creator>information technology</dc:creator>
  <cp:keywords/>
  <cp:lastModifiedBy>Tom Hagedorn</cp:lastModifiedBy>
  <cp:revision>3</cp:revision>
  <dcterms:created xsi:type="dcterms:W3CDTF">2014-07-09T01:00:00Z</dcterms:created>
  <dcterms:modified xsi:type="dcterms:W3CDTF">2014-07-09T01:01:00Z</dcterms:modified>
</cp:coreProperties>
</file>