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206D25F4" w:rsidR="0089067C" w:rsidRPr="003A2968" w:rsidRDefault="002A4C8F" w:rsidP="003A2968">
      <w:pPr>
        <w:jc w:val="right"/>
        <w:rPr>
          <w:sz w:val="22"/>
        </w:rPr>
      </w:pPr>
      <w:r>
        <w:rPr>
          <w:sz w:val="22"/>
        </w:rPr>
        <w:t>2017-18</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69CEDD22" w:rsidR="00D8097A" w:rsidRPr="003A2968" w:rsidRDefault="0089067C" w:rsidP="0089067C">
      <w:pPr>
        <w:jc w:val="center"/>
        <w:rPr>
          <w:smallCaps/>
          <w:szCs w:val="28"/>
        </w:rPr>
      </w:pPr>
      <w:r w:rsidRPr="003A2968">
        <w:rPr>
          <w:b/>
          <w:smallCaps/>
          <w:szCs w:val="28"/>
        </w:rPr>
        <w:t>Mathematics Major: 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1D15E692" w14:textId="572DCC19" w:rsidR="00D8097A" w:rsidRDefault="005125A5" w:rsidP="00E85815">
      <w:pPr>
        <w:tabs>
          <w:tab w:val="left" w:pos="720"/>
          <w:tab w:val="left" w:pos="1620"/>
        </w:tabs>
        <w:rPr>
          <w:sz w:val="22"/>
        </w:rPr>
      </w:pPr>
      <w:r>
        <w:rPr>
          <w:sz w:val="22"/>
        </w:rPr>
        <w:tab/>
      </w:r>
      <w:r w:rsidR="00D8097A">
        <w:rPr>
          <w:sz w:val="22"/>
        </w:rPr>
        <w:tab/>
      </w:r>
      <w:r w:rsidR="00E85815">
        <w:rPr>
          <w:sz w:val="22"/>
        </w:rPr>
        <w:t xml:space="preserve">CSC </w:t>
      </w:r>
      <w:r w:rsidR="00967E14">
        <w:rPr>
          <w:sz w:val="22"/>
        </w:rPr>
        <w:tab/>
      </w:r>
      <w:r w:rsidR="00E85815">
        <w:rPr>
          <w:sz w:val="22"/>
        </w:rPr>
        <w:t>220</w:t>
      </w:r>
      <w:r w:rsidR="00E85815">
        <w:rPr>
          <w:sz w:val="22"/>
        </w:rPr>
        <w:tab/>
        <w:t>Computer Science I  (or CSC 250)</w:t>
      </w:r>
      <w:r>
        <w:rPr>
          <w:sz w:val="22"/>
        </w:rPr>
        <w:tab/>
      </w:r>
      <w:r>
        <w:rPr>
          <w:sz w:val="22"/>
        </w:rPr>
        <w:tab/>
      </w:r>
      <w:r>
        <w:rPr>
          <w:sz w:val="22"/>
        </w:rPr>
        <w:tab/>
      </w:r>
      <w:r w:rsidR="00D8097A">
        <w:rPr>
          <w:sz w:val="22"/>
        </w:rPr>
        <w:t>1</w:t>
      </w:r>
    </w:p>
    <w:p w14:paraId="5FB45EE4" w14:textId="0E8F74D4" w:rsidR="008816BF" w:rsidRDefault="008816BF" w:rsidP="00E85815">
      <w:pPr>
        <w:tabs>
          <w:tab w:val="left" w:pos="720"/>
          <w:tab w:val="left" w:pos="1620"/>
        </w:tabs>
        <w:rPr>
          <w:sz w:val="22"/>
        </w:rPr>
      </w:pPr>
      <w:r>
        <w:rPr>
          <w:sz w:val="22"/>
        </w:rPr>
        <w:tab/>
      </w:r>
      <w:r>
        <w:rPr>
          <w:sz w:val="22"/>
        </w:rPr>
        <w:tab/>
      </w:r>
      <w:r>
        <w:rPr>
          <w:sz w:val="22"/>
        </w:rPr>
        <w:tab/>
        <w:t xml:space="preserve">or </w:t>
      </w:r>
      <w:r w:rsidR="00E85815">
        <w:rPr>
          <w:sz w:val="22"/>
        </w:rPr>
        <w:tab/>
        <w:t>MAT 200: Discrete Mathematics</w:t>
      </w:r>
    </w:p>
    <w:p w14:paraId="6C3B3E16" w14:textId="005732EE" w:rsidR="00D8097A" w:rsidRDefault="005125A5" w:rsidP="0089067C">
      <w:pPr>
        <w:tabs>
          <w:tab w:val="left" w:pos="720"/>
          <w:tab w:val="left" w:pos="1620"/>
        </w:tabs>
        <w:rPr>
          <w:sz w:val="22"/>
        </w:rPr>
      </w:pPr>
      <w:r>
        <w:rPr>
          <w:sz w:val="22"/>
        </w:rPr>
        <w:tab/>
      </w:r>
      <w:r w:rsidR="00D8097A">
        <w:rPr>
          <w:sz w:val="22"/>
        </w:rPr>
        <w:tab/>
        <w:t xml:space="preserve">FSP </w:t>
      </w:r>
      <w:r w:rsidR="00BB19FF">
        <w:rPr>
          <w:sz w:val="22"/>
        </w:rPr>
        <w:t xml:space="preserve">  </w:t>
      </w:r>
      <w:r w:rsidR="00BB19FF">
        <w:rPr>
          <w:sz w:val="22"/>
        </w:rPr>
        <w:tab/>
      </w:r>
      <w:r>
        <w:rPr>
          <w:sz w:val="22"/>
        </w:rPr>
        <w:tab/>
        <w:t>First Seminar (LL)</w:t>
      </w:r>
      <w:r w:rsidR="006878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Pr="005125A5" w:rsidRDefault="005125A5" w:rsidP="0089067C">
      <w:pPr>
        <w:tabs>
          <w:tab w:val="left" w:pos="720"/>
          <w:tab w:val="left" w:pos="1620"/>
        </w:tabs>
        <w:ind w:firstLine="720"/>
        <w:rPr>
          <w:i/>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634E8EB6" w14:textId="2A59B30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D8097A">
        <w:rPr>
          <w:sz w:val="22"/>
        </w:rPr>
        <w:t>1</w:t>
      </w:r>
    </w:p>
    <w:p w14:paraId="5AECD69F" w14:textId="77777777" w:rsidR="008816BF" w:rsidRDefault="005125A5" w:rsidP="00680435">
      <w:pPr>
        <w:tabs>
          <w:tab w:val="left" w:pos="720"/>
          <w:tab w:val="left" w:pos="1620"/>
        </w:tabs>
        <w:rPr>
          <w:sz w:val="22"/>
        </w:rPr>
      </w:pPr>
      <w:r>
        <w:rPr>
          <w:sz w:val="22"/>
        </w:rPr>
        <w:tab/>
      </w:r>
      <w:r w:rsidR="00D8097A">
        <w:rPr>
          <w:sz w:val="22"/>
        </w:rPr>
        <w:tab/>
      </w:r>
      <w:r w:rsidR="008816BF">
        <w:rPr>
          <w:sz w:val="22"/>
        </w:rPr>
        <w:t>MAT 200</w:t>
      </w:r>
      <w:r w:rsidR="008816BF">
        <w:rPr>
          <w:sz w:val="22"/>
        </w:rPr>
        <w:tab/>
        <w:t xml:space="preserve">Discrete Mathematics </w:t>
      </w:r>
    </w:p>
    <w:p w14:paraId="6F584740" w14:textId="00D4B027" w:rsidR="00680435" w:rsidRDefault="008816BF" w:rsidP="00680435">
      <w:pPr>
        <w:tabs>
          <w:tab w:val="left" w:pos="720"/>
          <w:tab w:val="left" w:pos="1620"/>
        </w:tabs>
        <w:rPr>
          <w:sz w:val="22"/>
        </w:rPr>
      </w:pPr>
      <w:r>
        <w:rPr>
          <w:sz w:val="22"/>
        </w:rPr>
        <w:tab/>
      </w:r>
      <w:r>
        <w:rPr>
          <w:sz w:val="22"/>
        </w:rPr>
        <w:tab/>
      </w:r>
      <w:r>
        <w:rPr>
          <w:sz w:val="22"/>
        </w:rPr>
        <w:tab/>
        <w:t xml:space="preserve">or </w:t>
      </w:r>
      <w:r w:rsidR="00BB535B">
        <w:rPr>
          <w:sz w:val="22"/>
        </w:rPr>
        <w:tab/>
      </w:r>
      <w:r w:rsidR="00680435">
        <w:rPr>
          <w:sz w:val="22"/>
        </w:rPr>
        <w:t>CSC 220/250 Computer Science</w:t>
      </w:r>
      <w:r w:rsidR="00AB7D80">
        <w:rPr>
          <w:sz w:val="22"/>
        </w:rPr>
        <w:t xml:space="preserve"> Course</w:t>
      </w:r>
      <w:r w:rsidR="00984139">
        <w:rPr>
          <w:sz w:val="22"/>
        </w:rPr>
        <w:tab/>
      </w:r>
      <w:r>
        <w:rPr>
          <w:sz w:val="22"/>
        </w:rPr>
        <w:tab/>
      </w:r>
      <w:r w:rsidR="00680435">
        <w:rPr>
          <w:sz w:val="22"/>
        </w:rPr>
        <w:tab/>
      </w:r>
      <w:r w:rsidR="00680435">
        <w:rPr>
          <w:sz w:val="22"/>
          <w:u w:val="single"/>
        </w:rPr>
        <w:t>1</w:t>
      </w:r>
    </w:p>
    <w:p w14:paraId="57C5D7BF" w14:textId="72422A28" w:rsidR="00D8097A" w:rsidRDefault="00D8097A" w:rsidP="0089067C">
      <w:pPr>
        <w:tabs>
          <w:tab w:val="left" w:pos="720"/>
          <w:tab w:val="left" w:pos="1620"/>
        </w:tabs>
        <w:rPr>
          <w:sz w:val="22"/>
        </w:rPr>
      </w:pP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411C3B31" w:rsidR="00D8097A" w:rsidRPr="005125A5" w:rsidRDefault="005125A5" w:rsidP="0089067C">
      <w:pPr>
        <w:tabs>
          <w:tab w:val="left" w:pos="720"/>
          <w:tab w:val="left" w:pos="1620"/>
        </w:tabs>
        <w:rPr>
          <w:i/>
          <w:sz w:val="22"/>
        </w:rPr>
      </w:pPr>
      <w:r>
        <w:rPr>
          <w:sz w:val="22"/>
        </w:rPr>
        <w:tab/>
      </w:r>
      <w:r w:rsidRPr="005125A5">
        <w:rPr>
          <w:i/>
          <w:sz w:val="22"/>
        </w:rPr>
        <w:t>Spring:</w:t>
      </w:r>
      <w:r w:rsidR="00F638EC">
        <w:rPr>
          <w:sz w:val="22"/>
        </w:rPr>
        <w:tab/>
      </w:r>
      <w:r w:rsidR="00B0363E">
        <w:rPr>
          <w:sz w:val="22"/>
        </w:rPr>
        <w:t>MAT</w:t>
      </w:r>
      <w:r w:rsidR="00B0363E">
        <w:rPr>
          <w:sz w:val="22"/>
        </w:rPr>
        <w:tab/>
        <w:t>305</w:t>
      </w:r>
      <w:r w:rsidR="00B0363E">
        <w:rPr>
          <w:sz w:val="22"/>
        </w:rPr>
        <w:tab/>
        <w:t>Abstract Algebra</w:t>
      </w:r>
      <w:r w:rsidR="006878B4">
        <w:rPr>
          <w:sz w:val="22"/>
        </w:rPr>
        <w:tab/>
      </w:r>
      <w:r>
        <w:rPr>
          <w:sz w:val="22"/>
        </w:rPr>
        <w:tab/>
      </w:r>
      <w:r>
        <w:rPr>
          <w:sz w:val="22"/>
        </w:rPr>
        <w:tab/>
      </w:r>
      <w:r w:rsidR="00B0363E">
        <w:rPr>
          <w:sz w:val="22"/>
        </w:rPr>
        <w:tab/>
      </w:r>
      <w:r>
        <w:rPr>
          <w:sz w:val="22"/>
        </w:rPr>
        <w:tab/>
      </w:r>
      <w:r w:rsidR="00D8097A">
        <w:rPr>
          <w:sz w:val="22"/>
        </w:rPr>
        <w:t>1</w:t>
      </w:r>
    </w:p>
    <w:p w14:paraId="402D5120" w14:textId="156B0AB5" w:rsidR="00D8097A"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77777777" w:rsidR="00D8097A" w:rsidRDefault="00D8097A" w:rsidP="0089067C">
      <w:pPr>
        <w:tabs>
          <w:tab w:val="left" w:pos="720"/>
          <w:tab w:val="left" w:pos="1620"/>
        </w:tabs>
        <w:rPr>
          <w:sz w:val="22"/>
        </w:rPr>
      </w:pPr>
      <w:r>
        <w:rPr>
          <w:sz w:val="22"/>
        </w:rPr>
        <w:tab/>
      </w:r>
      <w:r w:rsidR="005125A5">
        <w:rPr>
          <w:sz w:val="22"/>
        </w:rPr>
        <w:tab/>
        <w:t>MAT</w:t>
      </w:r>
      <w:r w:rsidR="005125A5">
        <w:rPr>
          <w:sz w:val="22"/>
        </w:rPr>
        <w:tab/>
        <w:t>310</w:t>
      </w:r>
      <w:r w:rsidR="005125A5">
        <w:rPr>
          <w:sz w:val="22"/>
        </w:rPr>
        <w:tab/>
        <w:t xml:space="preserve">Real Analysis </w:t>
      </w:r>
      <w:r w:rsidR="005125A5">
        <w:rPr>
          <w:sz w:val="22"/>
        </w:rPr>
        <w:tab/>
      </w:r>
      <w:r w:rsidR="005125A5">
        <w:rPr>
          <w:sz w:val="22"/>
        </w:rPr>
        <w:tab/>
      </w:r>
      <w:r w:rsidR="005125A5">
        <w:rPr>
          <w:sz w:val="22"/>
        </w:rPr>
        <w:tab/>
      </w:r>
      <w:r w:rsidR="005125A5">
        <w:rPr>
          <w:sz w:val="22"/>
        </w:rPr>
        <w:tab/>
      </w:r>
      <w:r>
        <w:rPr>
          <w:sz w:val="22"/>
        </w:rPr>
        <w:tab/>
      </w:r>
      <w:r>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3F194A3A" w:rsidR="00D8097A" w:rsidRDefault="00D8097A" w:rsidP="0089067C">
      <w:pPr>
        <w:tabs>
          <w:tab w:val="left" w:pos="720"/>
          <w:tab w:val="left" w:pos="1620"/>
        </w:tabs>
        <w:rPr>
          <w:sz w:val="22"/>
        </w:rPr>
      </w:pP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96FDEBC"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263383">
        <w:rPr>
          <w:sz w:val="22"/>
          <w:u w:val="single"/>
        </w:rPr>
        <w:t>3</w:t>
      </w:r>
    </w:p>
    <w:p w14:paraId="52E4E60A" w14:textId="77777777"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184A0C04" w:rsidR="00D8097A" w:rsidRDefault="006878B4">
      <w:pPr>
        <w:pStyle w:val="BodyTextIndent"/>
        <w:ind w:left="0"/>
      </w:pPr>
      <w:r w:rsidRPr="006441B4">
        <w:rPr>
          <w:vertAlign w:val="superscript"/>
        </w:rPr>
        <w:t>1</w:t>
      </w:r>
      <w:r>
        <w:rPr>
          <w:vertAlign w:val="superscript"/>
        </w:rPr>
        <w:t xml:space="preserve"> </w:t>
      </w:r>
      <w:r w:rsidR="005125A5">
        <w:t>FSP</w:t>
      </w:r>
      <w:r w:rsidR="002E5121">
        <w:t xml:space="preserve"> </w:t>
      </w:r>
      <w:r w:rsidR="005125A5">
        <w:t xml:space="preserve">1xx </w:t>
      </w:r>
      <w:r w:rsidR="00D8097A">
        <w:t xml:space="preserve">will also count as a Liberal Learning requirement. The </w:t>
      </w:r>
      <w:r w:rsidR="005125A5">
        <w:t>xx  in 1xx</w:t>
      </w:r>
      <w:r w:rsidR="00D8097A">
        <w:t xml:space="preserve"> is used to designate the Liberal Learning area satisfied by the course.</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7FECAB28" w:rsidR="006B5B0D" w:rsidRDefault="006878B4" w:rsidP="00BB19FF">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w:t>
      </w:r>
      <w:r w:rsidR="00BB535B">
        <w:rPr>
          <w:sz w:val="22"/>
        </w:rPr>
        <w:t xml:space="preserve"> or STA 410</w:t>
      </w:r>
      <w:r w:rsidR="00520BB3">
        <w:rPr>
          <w:sz w:val="22"/>
        </w:rPr>
        <w:t>, with at least two</w:t>
      </w:r>
      <w:r w:rsidR="005125A5">
        <w:rPr>
          <w:sz w:val="22"/>
        </w:rPr>
        <w:t xml:space="preserve"> </w:t>
      </w:r>
      <w:r w:rsidR="00BB19FF">
        <w:rPr>
          <w:sz w:val="22"/>
        </w:rPr>
        <w:t>400-level MAT course units</w:t>
      </w:r>
      <w:r w:rsidR="005125A5">
        <w:rPr>
          <w:sz w:val="22"/>
        </w:rPr>
        <w:t xml:space="preserve">.  </w:t>
      </w:r>
      <w:r w:rsidR="00BB535B">
        <w:rPr>
          <w:sz w:val="22"/>
        </w:rPr>
        <w:t xml:space="preserve">One suitable science course (as indicated on PAWS) may count towards the 6 required course units of MAT 300/400 courses.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0F034C94" w:rsidR="00D8097A" w:rsidRDefault="00D8097A" w:rsidP="00ED4865">
      <w:pPr>
        <w:jc w:val="right"/>
        <w:rPr>
          <w:sz w:val="20"/>
        </w:rPr>
      </w:pPr>
      <w:r>
        <w:rPr>
          <w:sz w:val="20"/>
        </w:rPr>
        <w:t>Revised:</w:t>
      </w:r>
      <w:r w:rsidR="0089067C">
        <w:rPr>
          <w:sz w:val="20"/>
        </w:rPr>
        <w:tab/>
      </w:r>
      <w:r w:rsidR="006322DE">
        <w:rPr>
          <w:sz w:val="20"/>
        </w:rPr>
        <w:t xml:space="preserve"> </w:t>
      </w:r>
      <w:r w:rsidR="00ED4865">
        <w:rPr>
          <w:sz w:val="20"/>
        </w:rPr>
        <w:t>July 14</w:t>
      </w:r>
      <w:bookmarkStart w:id="0" w:name="_GoBack"/>
      <w:bookmarkEnd w:id="0"/>
      <w:r w:rsidR="00DA15DC">
        <w:rPr>
          <w:sz w:val="20"/>
        </w:rPr>
        <w:t>, 2017</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772D"/>
    <w:rsid w:val="00026DCA"/>
    <w:rsid w:val="00101CA5"/>
    <w:rsid w:val="00140A1C"/>
    <w:rsid w:val="00154EDB"/>
    <w:rsid w:val="00166CA1"/>
    <w:rsid w:val="001757AF"/>
    <w:rsid w:val="001C2FB7"/>
    <w:rsid w:val="00263383"/>
    <w:rsid w:val="002A4C8F"/>
    <w:rsid w:val="002E5121"/>
    <w:rsid w:val="00352A22"/>
    <w:rsid w:val="00365B6B"/>
    <w:rsid w:val="003A2968"/>
    <w:rsid w:val="0040244A"/>
    <w:rsid w:val="00435B19"/>
    <w:rsid w:val="0047606C"/>
    <w:rsid w:val="004B3D4A"/>
    <w:rsid w:val="004C1FF9"/>
    <w:rsid w:val="005125A5"/>
    <w:rsid w:val="00520BB3"/>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816BF"/>
    <w:rsid w:val="0089067C"/>
    <w:rsid w:val="008D1279"/>
    <w:rsid w:val="00914495"/>
    <w:rsid w:val="00941E79"/>
    <w:rsid w:val="00962AD0"/>
    <w:rsid w:val="00967E14"/>
    <w:rsid w:val="00974FE4"/>
    <w:rsid w:val="00984139"/>
    <w:rsid w:val="009C61A8"/>
    <w:rsid w:val="009D6ED3"/>
    <w:rsid w:val="00AB7D80"/>
    <w:rsid w:val="00AC6C63"/>
    <w:rsid w:val="00B0363E"/>
    <w:rsid w:val="00B31EC7"/>
    <w:rsid w:val="00B56505"/>
    <w:rsid w:val="00B67457"/>
    <w:rsid w:val="00BB19FF"/>
    <w:rsid w:val="00BB22C3"/>
    <w:rsid w:val="00BB4BCB"/>
    <w:rsid w:val="00BB535B"/>
    <w:rsid w:val="00BD46C5"/>
    <w:rsid w:val="00C37025"/>
    <w:rsid w:val="00CB02CB"/>
    <w:rsid w:val="00CD5A6C"/>
    <w:rsid w:val="00D459D3"/>
    <w:rsid w:val="00D8097A"/>
    <w:rsid w:val="00DA15DC"/>
    <w:rsid w:val="00E4523E"/>
    <w:rsid w:val="00E854DD"/>
    <w:rsid w:val="00E85815"/>
    <w:rsid w:val="00EB317A"/>
    <w:rsid w:val="00ED4865"/>
    <w:rsid w:val="00F069B6"/>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Tom Hagedorn</cp:lastModifiedBy>
  <cp:revision>6</cp:revision>
  <cp:lastPrinted>2009-05-28T19:11:00Z</cp:lastPrinted>
  <dcterms:created xsi:type="dcterms:W3CDTF">2017-07-13T18:31:00Z</dcterms:created>
  <dcterms:modified xsi:type="dcterms:W3CDTF">2017-07-14T21:33:00Z</dcterms:modified>
</cp:coreProperties>
</file>