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F75" w:rsidRPr="00F4333D" w:rsidRDefault="005C1F75" w:rsidP="004364EA">
      <w:pPr>
        <w:tabs>
          <w:tab w:val="left" w:pos="1170"/>
          <w:tab w:val="left" w:pos="4950"/>
        </w:tabs>
        <w:spacing w:before="100" w:beforeAutospacing="1" w:after="100" w:afterAutospacing="1" w:line="240" w:lineRule="auto"/>
        <w:contextualSpacing/>
        <w:rPr>
          <w:rFonts w:ascii="Garamond" w:hAnsi="Garamond"/>
          <w:i w:val="0"/>
        </w:rPr>
      </w:pPr>
      <w:r>
        <w:rPr>
          <w:rFonts w:ascii="Garamond" w:hAnsi="Garamond"/>
          <w:i w:val="0"/>
        </w:rPr>
        <w:tab/>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5C1F75" w:rsidRPr="00F4333D" w:rsidTr="00A565EA">
        <w:trPr>
          <w:jc w:val="center"/>
        </w:trPr>
        <w:tc>
          <w:tcPr>
            <w:tcW w:w="10818" w:type="dxa"/>
            <w:gridSpan w:val="4"/>
            <w:shd w:val="clear" w:color="auto" w:fill="FDE9D9"/>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1</w:t>
            </w:r>
          </w:p>
        </w:tc>
      </w:tr>
      <w:tr w:rsidR="005C1F75" w:rsidRPr="00F4333D" w:rsidTr="00A565EA">
        <w:trPr>
          <w:jc w:val="center"/>
        </w:trPr>
        <w:tc>
          <w:tcPr>
            <w:tcW w:w="5418" w:type="dxa"/>
            <w:gridSpan w:val="2"/>
            <w:shd w:val="clear" w:color="auto" w:fill="FDE9D9"/>
            <w:vAlign w:val="center"/>
          </w:tcPr>
          <w:p w:rsidR="005C1F75" w:rsidRPr="00EF54F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FDE9D9"/>
            <w:vAlign w:val="center"/>
          </w:tcPr>
          <w:p w:rsidR="005C1F75" w:rsidRPr="00EF54F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5C1F75" w:rsidRPr="00F4333D" w:rsidTr="00A565EA">
        <w:trPr>
          <w:jc w:val="center"/>
        </w:trPr>
        <w:tc>
          <w:tcPr>
            <w:tcW w:w="2785" w:type="dxa"/>
            <w:vAlign w:val="center"/>
          </w:tcPr>
          <w:p w:rsidR="005C1F75" w:rsidRPr="00EF54F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5C1F75" w:rsidRPr="00EF54F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5C1F75" w:rsidRPr="00EF54F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5C1F75" w:rsidRPr="00EF54F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5C1F75" w:rsidRPr="00F4333D" w:rsidTr="00A565EA">
        <w:trPr>
          <w:trHeight w:val="432"/>
          <w:jc w:val="center"/>
        </w:trPr>
        <w:tc>
          <w:tcPr>
            <w:tcW w:w="2785"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99 &amp; MAT 99</w:t>
            </w:r>
          </w:p>
        </w:tc>
        <w:tc>
          <w:tcPr>
            <w:tcW w:w="2633"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Orientation Seminar</w:t>
            </w:r>
          </w:p>
        </w:tc>
        <w:tc>
          <w:tcPr>
            <w:tcW w:w="2700"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WRI 102 Academic Writing</w:t>
            </w:r>
            <w:r>
              <w:rPr>
                <w:rStyle w:val="EndnoteReference"/>
                <w:rFonts w:ascii="Garamond" w:hAnsi="Garamond"/>
                <w:i w:val="0"/>
              </w:rPr>
              <w:endnoteReference w:id="1"/>
            </w:r>
          </w:p>
        </w:tc>
        <w:tc>
          <w:tcPr>
            <w:tcW w:w="2700"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r>
      <w:tr w:rsidR="005C1F75" w:rsidRPr="00F4333D" w:rsidTr="00A565EA">
        <w:trPr>
          <w:trHeight w:val="432"/>
          <w:jc w:val="center"/>
        </w:trPr>
        <w:tc>
          <w:tcPr>
            <w:tcW w:w="2785"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FSP 1XX: First Seminar Program</w:t>
            </w:r>
            <w:r>
              <w:rPr>
                <w:rStyle w:val="EndnoteReference"/>
                <w:rFonts w:ascii="Garamond" w:hAnsi="Garamond"/>
                <w:i w:val="0"/>
              </w:rPr>
              <w:endnoteReference w:id="2"/>
            </w:r>
          </w:p>
        </w:tc>
        <w:tc>
          <w:tcPr>
            <w:tcW w:w="2633"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c>
          <w:tcPr>
            <w:tcW w:w="2700"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203: Intro to Urban Education</w:t>
            </w:r>
          </w:p>
        </w:tc>
        <w:tc>
          <w:tcPr>
            <w:tcW w:w="2700"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5C1F75" w:rsidRPr="00F4333D" w:rsidTr="00A565EA">
        <w:trPr>
          <w:trHeight w:val="432"/>
          <w:jc w:val="center"/>
        </w:trPr>
        <w:tc>
          <w:tcPr>
            <w:tcW w:w="2785"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105: Structures &amp; Algorithms for Education I</w:t>
            </w:r>
          </w:p>
        </w:tc>
        <w:tc>
          <w:tcPr>
            <w:tcW w:w="2633"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c>
          <w:tcPr>
            <w:tcW w:w="2700"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128 Calculus B</w:t>
            </w:r>
          </w:p>
        </w:tc>
        <w:tc>
          <w:tcPr>
            <w:tcW w:w="2700"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5C1F75" w:rsidRPr="00F4333D" w:rsidTr="00A565EA">
        <w:trPr>
          <w:trHeight w:val="432"/>
          <w:jc w:val="center"/>
        </w:trPr>
        <w:tc>
          <w:tcPr>
            <w:tcW w:w="2785"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1 or elective</w:t>
            </w:r>
          </w:p>
        </w:tc>
        <w:tc>
          <w:tcPr>
            <w:tcW w:w="2633"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c>
          <w:tcPr>
            <w:tcW w:w="2700" w:type="dxa"/>
            <w:vAlign w:val="center"/>
          </w:tcPr>
          <w:p w:rsidR="005C1F75" w:rsidRPr="005C1F75"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sidRPr="005C1F75">
              <w:rPr>
                <w:i w:val="0"/>
                <w:sz w:val="18"/>
                <w:szCs w:val="18"/>
              </w:rPr>
              <w:t>MAT 200 Proof Writing through Discrete Mathematics</w:t>
            </w:r>
          </w:p>
        </w:tc>
        <w:tc>
          <w:tcPr>
            <w:tcW w:w="2700"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5C1F75" w:rsidRPr="00F4333D" w:rsidTr="00A565EA">
        <w:trPr>
          <w:trHeight w:val="432"/>
          <w:jc w:val="center"/>
        </w:trPr>
        <w:tc>
          <w:tcPr>
            <w:tcW w:w="2785" w:type="dxa"/>
            <w:vAlign w:val="center"/>
          </w:tcPr>
          <w:p w:rsidR="005C1F75" w:rsidRPr="00F4333D" w:rsidRDefault="005C1F75" w:rsidP="005C1F7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127 Calculus A</w:t>
            </w:r>
            <w:r>
              <w:rPr>
                <w:rStyle w:val="EndnoteReference"/>
                <w:rFonts w:ascii="Garamond" w:hAnsi="Garamond"/>
                <w:i w:val="0"/>
              </w:rPr>
              <w:endnoteReference w:id="3"/>
            </w:r>
          </w:p>
        </w:tc>
        <w:tc>
          <w:tcPr>
            <w:tcW w:w="2633"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5C1F75" w:rsidRPr="00F4333D" w:rsidRDefault="005C1F75" w:rsidP="005C1F75">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5C1F75" w:rsidRPr="00F4333D" w:rsidTr="00A565EA">
        <w:tc>
          <w:tcPr>
            <w:tcW w:w="10818" w:type="dxa"/>
            <w:gridSpan w:val="4"/>
            <w:shd w:val="clear" w:color="auto" w:fill="DAEEF3"/>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2</w:t>
            </w:r>
          </w:p>
        </w:tc>
      </w:tr>
      <w:tr w:rsidR="005C1F75" w:rsidRPr="00F4333D" w:rsidTr="00A565EA">
        <w:tc>
          <w:tcPr>
            <w:tcW w:w="5418" w:type="dxa"/>
            <w:gridSpan w:val="2"/>
            <w:shd w:val="clear" w:color="auto" w:fill="DAEEF3"/>
            <w:vAlign w:val="center"/>
          </w:tcPr>
          <w:p w:rsidR="005C1F75" w:rsidRPr="00EF54F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DAEEF3"/>
            <w:vAlign w:val="center"/>
          </w:tcPr>
          <w:p w:rsidR="005C1F75" w:rsidRPr="00EF54F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5C1F75" w:rsidRPr="00F4333D" w:rsidTr="00A565EA">
        <w:tc>
          <w:tcPr>
            <w:tcW w:w="2785" w:type="dxa"/>
            <w:vAlign w:val="center"/>
          </w:tcPr>
          <w:p w:rsidR="005C1F75" w:rsidRPr="00EF54F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5C1F75" w:rsidRPr="00EF54F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5C1F75" w:rsidRPr="00EF54F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5C1F75" w:rsidRPr="00EF54F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5C1F75" w:rsidRPr="00F4333D" w:rsidTr="00A565EA">
        <w:trPr>
          <w:trHeight w:val="432"/>
        </w:trPr>
        <w:tc>
          <w:tcPr>
            <w:tcW w:w="2785"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201: Child &amp; Adolescent Development</w:t>
            </w:r>
            <w:r>
              <w:rPr>
                <w:rStyle w:val="EndnoteReference"/>
                <w:rFonts w:ascii="Garamond" w:hAnsi="Garamond"/>
                <w:i w:val="0"/>
              </w:rPr>
              <w:endnoteReference w:id="4"/>
            </w:r>
          </w:p>
        </w:tc>
        <w:tc>
          <w:tcPr>
            <w:tcW w:w="2633"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 xml:space="preserve">ECE 202: Theories &amp; Philosophies in ECE </w:t>
            </w:r>
          </w:p>
        </w:tc>
        <w:tc>
          <w:tcPr>
            <w:tcW w:w="2700"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5C1F75" w:rsidRPr="00F4333D" w:rsidTr="00A565EA">
        <w:trPr>
          <w:trHeight w:val="432"/>
        </w:trPr>
        <w:tc>
          <w:tcPr>
            <w:tcW w:w="2785"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222: Literacy, Strategies, Assessment &amp; Instruction</w:t>
            </w:r>
          </w:p>
        </w:tc>
        <w:tc>
          <w:tcPr>
            <w:tcW w:w="2633"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Visual/Performing Arts</w:t>
            </w:r>
          </w:p>
        </w:tc>
        <w:tc>
          <w:tcPr>
            <w:tcW w:w="2700"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VPA</w:t>
            </w:r>
          </w:p>
        </w:tc>
      </w:tr>
      <w:tr w:rsidR="005C1F75" w:rsidRPr="00F4333D" w:rsidTr="00A565EA">
        <w:trPr>
          <w:trHeight w:val="432"/>
        </w:trPr>
        <w:tc>
          <w:tcPr>
            <w:tcW w:w="2785"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2 or elective</w:t>
            </w:r>
          </w:p>
        </w:tc>
        <w:tc>
          <w:tcPr>
            <w:tcW w:w="2633"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c>
          <w:tcPr>
            <w:tcW w:w="2700"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3 or elective</w:t>
            </w:r>
          </w:p>
        </w:tc>
        <w:tc>
          <w:tcPr>
            <w:tcW w:w="2700"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r>
      <w:tr w:rsidR="005C1F75" w:rsidRPr="00F4333D" w:rsidTr="00A565EA">
        <w:trPr>
          <w:trHeight w:val="432"/>
        </w:trPr>
        <w:tc>
          <w:tcPr>
            <w:tcW w:w="2785"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229 Multivariable Calculus</w:t>
            </w:r>
          </w:p>
        </w:tc>
        <w:tc>
          <w:tcPr>
            <w:tcW w:w="2633"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205 Linear Algebra</w:t>
            </w:r>
          </w:p>
        </w:tc>
        <w:tc>
          <w:tcPr>
            <w:tcW w:w="2700"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5C1F75" w:rsidRPr="00F4333D" w:rsidRDefault="005C1F75" w:rsidP="005C1F75">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5C1F75" w:rsidRPr="00F4333D" w:rsidTr="00A565EA">
        <w:tc>
          <w:tcPr>
            <w:tcW w:w="10818" w:type="dxa"/>
            <w:gridSpan w:val="4"/>
            <w:shd w:val="clear" w:color="auto" w:fill="DBDDF1"/>
            <w:vAlign w:val="center"/>
          </w:tcPr>
          <w:p w:rsidR="005C1F75" w:rsidRPr="00C1474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3</w:t>
            </w:r>
          </w:p>
        </w:tc>
      </w:tr>
      <w:tr w:rsidR="005C1F75" w:rsidRPr="00F4333D" w:rsidTr="00A565EA">
        <w:tc>
          <w:tcPr>
            <w:tcW w:w="5418" w:type="dxa"/>
            <w:gridSpan w:val="2"/>
            <w:shd w:val="clear" w:color="auto" w:fill="DBDDF1"/>
            <w:vAlign w:val="center"/>
          </w:tcPr>
          <w:p w:rsidR="005C1F75" w:rsidRPr="00C1474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DBDDF1"/>
            <w:vAlign w:val="center"/>
          </w:tcPr>
          <w:p w:rsidR="005C1F75" w:rsidRPr="00C1474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5C1F75" w:rsidRPr="00F4333D" w:rsidTr="00A565EA">
        <w:tc>
          <w:tcPr>
            <w:tcW w:w="2785" w:type="dxa"/>
            <w:vAlign w:val="center"/>
          </w:tcPr>
          <w:p w:rsidR="005C1F75" w:rsidRPr="00C1474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5C1F75" w:rsidRPr="00C1474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5C1F75" w:rsidRPr="00C1474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5C1F75" w:rsidRPr="00C1474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5C1F75" w:rsidRPr="00F4333D" w:rsidTr="00A565EA">
        <w:trPr>
          <w:trHeight w:val="432"/>
        </w:trPr>
        <w:tc>
          <w:tcPr>
            <w:tcW w:w="2785" w:type="dxa"/>
            <w:vAlign w:val="center"/>
          </w:tcPr>
          <w:p w:rsidR="005C1F75"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102: Multicultural Children’s Literature</w:t>
            </w:r>
          </w:p>
        </w:tc>
        <w:tc>
          <w:tcPr>
            <w:tcW w:w="2633" w:type="dxa"/>
            <w:vAlign w:val="center"/>
          </w:tcPr>
          <w:p w:rsidR="005C1F75"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MST 202: Methods of Teaching Science, Health, &amp; Technology</w:t>
            </w:r>
            <w:r>
              <w:rPr>
                <w:rStyle w:val="EndnoteReference"/>
                <w:rFonts w:ascii="Garamond" w:hAnsi="Garamond"/>
                <w:i w:val="0"/>
              </w:rPr>
              <w:endnoteReference w:id="5"/>
            </w:r>
          </w:p>
        </w:tc>
        <w:tc>
          <w:tcPr>
            <w:tcW w:w="2700"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5C1F75" w:rsidRPr="00F4333D" w:rsidTr="00A565EA">
        <w:trPr>
          <w:trHeight w:val="432"/>
        </w:trPr>
        <w:tc>
          <w:tcPr>
            <w:tcW w:w="2785"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sidRPr="0049109C">
              <w:rPr>
                <w:rFonts w:ascii="Garamond" w:hAnsi="Garamond"/>
                <w:i w:val="0"/>
              </w:rPr>
              <w:t>BIO 104:</w:t>
            </w:r>
            <w:r>
              <w:rPr>
                <w:rFonts w:ascii="Garamond" w:hAnsi="Garamond"/>
                <w:i w:val="0"/>
              </w:rPr>
              <w:t xml:space="preserve"> Inquiries in the Life Sciences</w:t>
            </w:r>
            <w:r>
              <w:rPr>
                <w:rStyle w:val="EndnoteReference"/>
                <w:rFonts w:ascii="Garamond" w:hAnsi="Garamond"/>
                <w:i w:val="0"/>
              </w:rPr>
              <w:endnoteReference w:id="6"/>
            </w:r>
          </w:p>
        </w:tc>
        <w:tc>
          <w:tcPr>
            <w:tcW w:w="2633"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49109C">
              <w:rPr>
                <w:rFonts w:ascii="Garamond" w:hAnsi="Garamond"/>
                <w:i w:val="0"/>
              </w:rPr>
              <w:t>Natural Science</w:t>
            </w:r>
          </w:p>
        </w:tc>
        <w:tc>
          <w:tcPr>
            <w:tcW w:w="2700"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MTT 202: Math Methods</w:t>
            </w:r>
          </w:p>
        </w:tc>
        <w:tc>
          <w:tcPr>
            <w:tcW w:w="2700"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5C1F75" w:rsidRPr="00F4333D" w:rsidTr="00A565EA">
        <w:trPr>
          <w:trHeight w:val="432"/>
        </w:trPr>
        <w:tc>
          <w:tcPr>
            <w:tcW w:w="2785"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301 Number Theory</w:t>
            </w:r>
          </w:p>
        </w:tc>
        <w:tc>
          <w:tcPr>
            <w:tcW w:w="2633"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5C1F75" w:rsidRPr="00F4333D" w:rsidRDefault="00F41FB8"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255 Perspectives on the Development of Math (Spring only)</w:t>
            </w:r>
          </w:p>
        </w:tc>
        <w:tc>
          <w:tcPr>
            <w:tcW w:w="2700"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5C1F75" w:rsidRPr="00F4333D" w:rsidTr="00A565EA">
        <w:trPr>
          <w:trHeight w:val="432"/>
        </w:trPr>
        <w:tc>
          <w:tcPr>
            <w:tcW w:w="2785"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STA 216 Statistics &amp; Probability (Fall only)</w:t>
            </w:r>
          </w:p>
        </w:tc>
        <w:tc>
          <w:tcPr>
            <w:tcW w:w="2633"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uto"/>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 xml:space="preserve">MAT </w:t>
            </w:r>
            <w:r w:rsidR="00F41FB8">
              <w:rPr>
                <w:rFonts w:ascii="Garamond" w:hAnsi="Garamond"/>
                <w:i w:val="0"/>
              </w:rPr>
              <w:t>305 Abstract Algebra</w:t>
            </w:r>
          </w:p>
        </w:tc>
        <w:tc>
          <w:tcPr>
            <w:tcW w:w="2700" w:type="dxa"/>
            <w:shd w:val="clear" w:color="auto" w:fill="auto"/>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5C1F75" w:rsidRPr="00F4333D" w:rsidRDefault="005C1F75" w:rsidP="005C1F75">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5C1F75" w:rsidRPr="00F4333D" w:rsidTr="00A565EA">
        <w:tc>
          <w:tcPr>
            <w:tcW w:w="10818" w:type="dxa"/>
            <w:gridSpan w:val="4"/>
            <w:shd w:val="clear" w:color="auto" w:fill="F2DBDB"/>
            <w:vAlign w:val="center"/>
          </w:tcPr>
          <w:p w:rsidR="005C1F75" w:rsidRPr="00C1474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4</w:t>
            </w:r>
            <w:r>
              <w:rPr>
                <w:rStyle w:val="EndnoteReference"/>
                <w:rFonts w:ascii="Garamond" w:hAnsi="Garamond"/>
                <w:b/>
                <w:i w:val="0"/>
              </w:rPr>
              <w:endnoteReference w:id="7"/>
            </w:r>
          </w:p>
        </w:tc>
      </w:tr>
      <w:tr w:rsidR="005C1F75" w:rsidRPr="00F4333D" w:rsidTr="00A565EA">
        <w:tc>
          <w:tcPr>
            <w:tcW w:w="5418" w:type="dxa"/>
            <w:gridSpan w:val="2"/>
            <w:shd w:val="clear" w:color="auto" w:fill="F2DBDB"/>
            <w:vAlign w:val="center"/>
          </w:tcPr>
          <w:p w:rsidR="005C1F75" w:rsidRPr="00C1474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2DBDB"/>
            <w:vAlign w:val="center"/>
          </w:tcPr>
          <w:p w:rsidR="005C1F75" w:rsidRPr="00C1474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5C1F75" w:rsidRPr="00F4333D" w:rsidTr="00A565EA">
        <w:tc>
          <w:tcPr>
            <w:tcW w:w="2785" w:type="dxa"/>
            <w:vAlign w:val="center"/>
          </w:tcPr>
          <w:p w:rsidR="005C1F75" w:rsidRPr="00C1474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5C1F75" w:rsidRPr="00C1474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5C1F75" w:rsidRPr="00C1474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5C1F75" w:rsidRPr="00C1474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5C1F75" w:rsidRPr="00F4333D" w:rsidTr="00A565EA">
        <w:trPr>
          <w:trHeight w:val="432"/>
        </w:trPr>
        <w:tc>
          <w:tcPr>
            <w:tcW w:w="2785"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302: Intro to Teacher Research</w:t>
            </w:r>
          </w:p>
        </w:tc>
        <w:tc>
          <w:tcPr>
            <w:tcW w:w="2633"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SOM 203: Social Studies &amp; Multiculturalism</w:t>
            </w:r>
          </w:p>
        </w:tc>
        <w:tc>
          <w:tcPr>
            <w:tcW w:w="2700"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5C1F75" w:rsidRPr="00F4333D" w:rsidTr="00A565EA">
        <w:trPr>
          <w:trHeight w:val="432"/>
        </w:trPr>
        <w:tc>
          <w:tcPr>
            <w:tcW w:w="2785"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EFN 427: Critical Pedagogy</w:t>
            </w:r>
          </w:p>
        </w:tc>
        <w:tc>
          <w:tcPr>
            <w:tcW w:w="2633"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SPED 525: Inclusion of Pupils with Disabilities in the ELE Classroom</w:t>
            </w:r>
          </w:p>
        </w:tc>
        <w:tc>
          <w:tcPr>
            <w:tcW w:w="2700"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5C1F75" w:rsidRPr="00F4333D" w:rsidTr="00A565EA">
        <w:trPr>
          <w:trHeight w:val="432"/>
        </w:trPr>
        <w:tc>
          <w:tcPr>
            <w:tcW w:w="2785" w:type="dxa"/>
            <w:shd w:val="clear" w:color="auto" w:fill="auto"/>
            <w:vAlign w:val="center"/>
          </w:tcPr>
          <w:p w:rsidR="005C1F75" w:rsidRPr="00F4333D" w:rsidRDefault="00F41FB8"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310 Real Analysis</w:t>
            </w:r>
          </w:p>
        </w:tc>
        <w:tc>
          <w:tcPr>
            <w:tcW w:w="2633" w:type="dxa"/>
            <w:shd w:val="clear" w:color="auto" w:fill="auto"/>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545: English Structure &amp; Proficiency Assessment</w:t>
            </w:r>
          </w:p>
        </w:tc>
        <w:tc>
          <w:tcPr>
            <w:tcW w:w="2700"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5C1F75" w:rsidRPr="00F4333D" w:rsidTr="00A565EA">
        <w:trPr>
          <w:trHeight w:val="432"/>
        </w:trPr>
        <w:tc>
          <w:tcPr>
            <w:tcW w:w="2785" w:type="dxa"/>
            <w:shd w:val="clear" w:color="auto" w:fill="auto"/>
            <w:vAlign w:val="center"/>
          </w:tcPr>
          <w:p w:rsidR="005C1F75" w:rsidRPr="00F4333D" w:rsidRDefault="00F41FB8"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351 Geometry</w:t>
            </w:r>
          </w:p>
        </w:tc>
        <w:tc>
          <w:tcPr>
            <w:tcW w:w="2633" w:type="dxa"/>
            <w:shd w:val="clear" w:color="auto" w:fill="auto"/>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5C1F75" w:rsidRPr="00F4333D" w:rsidRDefault="00F41FB8"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MAT/STA option</w:t>
            </w:r>
          </w:p>
        </w:tc>
        <w:tc>
          <w:tcPr>
            <w:tcW w:w="2700"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5C1F75" w:rsidRDefault="005C1F75" w:rsidP="005C1F75">
      <w:pPr>
        <w:spacing w:before="100" w:beforeAutospacing="1" w:after="100" w:afterAutospacing="1" w:line="240" w:lineRule="auto"/>
        <w:contextualSpacing/>
        <w:rPr>
          <w:rFonts w:ascii="Garamond" w:hAnsi="Garamond"/>
          <w:i w:val="0"/>
        </w:rPr>
      </w:pPr>
    </w:p>
    <w:p w:rsidR="005C1F75" w:rsidRDefault="005C1F75" w:rsidP="005C1F75">
      <w:pPr>
        <w:spacing w:before="100" w:beforeAutospacing="1" w:after="100" w:afterAutospacing="1" w:line="240" w:lineRule="auto"/>
        <w:contextualSpacing/>
        <w:rPr>
          <w:rFonts w:ascii="Garamond" w:hAnsi="Garamond"/>
          <w:i w:val="0"/>
        </w:rPr>
      </w:pPr>
    </w:p>
    <w:p w:rsidR="005C1F75" w:rsidRDefault="005C1F75" w:rsidP="005C1F75">
      <w:pPr>
        <w:spacing w:before="100" w:beforeAutospacing="1" w:after="100" w:afterAutospacing="1" w:line="240" w:lineRule="auto"/>
        <w:contextualSpacing/>
        <w:rPr>
          <w:rFonts w:ascii="Garamond" w:hAnsi="Garamond"/>
          <w:i w:val="0"/>
        </w:rPr>
      </w:pPr>
    </w:p>
    <w:p w:rsidR="005C1F75" w:rsidRDefault="005C1F75" w:rsidP="005C1F75">
      <w:pPr>
        <w:spacing w:after="0" w:line="259" w:lineRule="auto"/>
        <w:rPr>
          <w:rFonts w:ascii="Garamond" w:hAnsi="Garamond"/>
          <w:i w:val="0"/>
        </w:rPr>
      </w:pPr>
      <w:r>
        <w:rPr>
          <w:rFonts w:ascii="Garamond" w:hAnsi="Garamond"/>
          <w:i w:val="0"/>
        </w:rPr>
        <w:br w:type="page"/>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5400"/>
      </w:tblGrid>
      <w:tr w:rsidR="005C1F75" w:rsidRPr="00F4333D" w:rsidTr="00A565EA">
        <w:tc>
          <w:tcPr>
            <w:tcW w:w="10818" w:type="dxa"/>
            <w:gridSpan w:val="2"/>
            <w:shd w:val="clear" w:color="auto" w:fill="E2EFD9" w:themeFill="accent6" w:themeFillTint="33"/>
            <w:vAlign w:val="center"/>
          </w:tcPr>
          <w:p w:rsidR="005C1F75" w:rsidRPr="00C1474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Pr>
                <w:rFonts w:ascii="Garamond" w:hAnsi="Garamond"/>
                <w:b/>
                <w:i w:val="0"/>
              </w:rPr>
              <w:lastRenderedPageBreak/>
              <w:t>Summer between Year 4 and 5</w:t>
            </w:r>
            <w:r>
              <w:rPr>
                <w:rStyle w:val="EndnoteReference"/>
                <w:rFonts w:ascii="Garamond" w:hAnsi="Garamond"/>
                <w:b/>
                <w:i w:val="0"/>
              </w:rPr>
              <w:endnoteReference w:id="8"/>
            </w:r>
          </w:p>
        </w:tc>
      </w:tr>
      <w:tr w:rsidR="005C1F75" w:rsidRPr="00F4333D" w:rsidTr="00A565EA">
        <w:tc>
          <w:tcPr>
            <w:tcW w:w="5418" w:type="dxa"/>
            <w:vAlign w:val="center"/>
          </w:tcPr>
          <w:p w:rsidR="005C1F75" w:rsidRPr="00C1474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5400" w:type="dxa"/>
            <w:vAlign w:val="center"/>
          </w:tcPr>
          <w:p w:rsidR="005C1F75" w:rsidRPr="00C1474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5C1F75" w:rsidRPr="00F4333D" w:rsidTr="00A565EA">
        <w:trPr>
          <w:trHeight w:val="432"/>
        </w:trPr>
        <w:tc>
          <w:tcPr>
            <w:tcW w:w="5418" w:type="dxa"/>
            <w:shd w:val="clear" w:color="auto" w:fill="auto"/>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525: Second Language Acquisition</w:t>
            </w:r>
          </w:p>
        </w:tc>
        <w:tc>
          <w:tcPr>
            <w:tcW w:w="5400" w:type="dxa"/>
            <w:shd w:val="clear" w:color="auto" w:fill="auto"/>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5C1F75" w:rsidRPr="00F4333D" w:rsidTr="00A565EA">
        <w:trPr>
          <w:trHeight w:val="432"/>
        </w:trPr>
        <w:tc>
          <w:tcPr>
            <w:tcW w:w="5418" w:type="dxa"/>
            <w:shd w:val="clear" w:color="auto" w:fill="auto"/>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587: Curriculum, Methods, &amp; Assessment for ESL</w:t>
            </w:r>
          </w:p>
        </w:tc>
        <w:tc>
          <w:tcPr>
            <w:tcW w:w="5400" w:type="dxa"/>
            <w:shd w:val="clear" w:color="auto" w:fill="auto"/>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bl>
    <w:p w:rsidR="005C1F75" w:rsidRDefault="005C1F75" w:rsidP="005C1F75">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5C1F75" w:rsidRPr="00F4333D" w:rsidTr="00A565EA">
        <w:tc>
          <w:tcPr>
            <w:tcW w:w="10818" w:type="dxa"/>
            <w:gridSpan w:val="4"/>
            <w:shd w:val="clear" w:color="auto" w:fill="FFE599" w:themeFill="accent4" w:themeFillTint="66"/>
            <w:vAlign w:val="center"/>
          </w:tcPr>
          <w:p w:rsidR="005C1F75" w:rsidRPr="00C1474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Pr>
                <w:rFonts w:ascii="Garamond" w:hAnsi="Garamond"/>
                <w:b/>
                <w:i w:val="0"/>
              </w:rPr>
              <w:t>Year 5</w:t>
            </w:r>
          </w:p>
        </w:tc>
      </w:tr>
      <w:tr w:rsidR="005C1F75" w:rsidRPr="00F4333D" w:rsidTr="00A565EA">
        <w:tc>
          <w:tcPr>
            <w:tcW w:w="5418" w:type="dxa"/>
            <w:gridSpan w:val="2"/>
            <w:shd w:val="clear" w:color="auto" w:fill="FFE599" w:themeFill="accent4" w:themeFillTint="66"/>
            <w:vAlign w:val="center"/>
          </w:tcPr>
          <w:p w:rsidR="005C1F75" w:rsidRPr="00C1474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FE599" w:themeFill="accent4" w:themeFillTint="66"/>
            <w:vAlign w:val="center"/>
          </w:tcPr>
          <w:p w:rsidR="005C1F75" w:rsidRPr="00C1474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5C1F75" w:rsidRPr="00F4333D" w:rsidTr="00A565EA">
        <w:tc>
          <w:tcPr>
            <w:tcW w:w="2785" w:type="dxa"/>
            <w:vAlign w:val="center"/>
          </w:tcPr>
          <w:p w:rsidR="005C1F75" w:rsidRPr="00C1474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5C1F75" w:rsidRPr="00C1474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5C1F75" w:rsidRPr="00C1474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5C1F75" w:rsidRPr="00C1474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5C1F75" w:rsidRPr="00F4333D" w:rsidTr="00A565EA">
        <w:trPr>
          <w:trHeight w:val="432"/>
        </w:trPr>
        <w:tc>
          <w:tcPr>
            <w:tcW w:w="2785" w:type="dxa"/>
            <w:shd w:val="clear" w:color="auto" w:fill="auto"/>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EDUC 694: Clinical Practice/Internship I</w:t>
            </w:r>
          </w:p>
        </w:tc>
        <w:tc>
          <w:tcPr>
            <w:tcW w:w="2633" w:type="dxa"/>
            <w:shd w:val="clear" w:color="auto" w:fill="auto"/>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695: Clinical Practice II/Internship II</w:t>
            </w:r>
          </w:p>
        </w:tc>
        <w:tc>
          <w:tcPr>
            <w:tcW w:w="2700" w:type="dxa"/>
            <w:shd w:val="clear" w:color="auto" w:fill="auto"/>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5C1F75" w:rsidRPr="00F4333D" w:rsidTr="00A565EA">
        <w:trPr>
          <w:trHeight w:val="432"/>
        </w:trPr>
        <w:tc>
          <w:tcPr>
            <w:tcW w:w="2785" w:type="dxa"/>
            <w:shd w:val="clear" w:color="auto" w:fill="auto"/>
            <w:vAlign w:val="center"/>
          </w:tcPr>
          <w:p w:rsidR="005C1F75"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577: Sociolinguistics &amp; Cultural Foundations of ESL</w:t>
            </w:r>
          </w:p>
        </w:tc>
        <w:tc>
          <w:tcPr>
            <w:tcW w:w="2633" w:type="dxa"/>
            <w:shd w:val="clear" w:color="auto" w:fill="auto"/>
            <w:vAlign w:val="center"/>
          </w:tcPr>
          <w:p w:rsidR="005C1F75"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690: Student Teaching Seminar</w:t>
            </w:r>
          </w:p>
        </w:tc>
        <w:tc>
          <w:tcPr>
            <w:tcW w:w="2700" w:type="dxa"/>
            <w:shd w:val="clear" w:color="auto" w:fill="auto"/>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5C1F75" w:rsidRPr="00F4333D" w:rsidTr="00A565EA">
        <w:trPr>
          <w:trHeight w:val="432"/>
        </w:trPr>
        <w:tc>
          <w:tcPr>
            <w:tcW w:w="2785" w:type="dxa"/>
            <w:shd w:val="clear" w:color="auto" w:fill="auto"/>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578: Theory &amp; Practice of ESL</w:t>
            </w:r>
          </w:p>
        </w:tc>
        <w:tc>
          <w:tcPr>
            <w:tcW w:w="2633" w:type="dxa"/>
            <w:shd w:val="clear" w:color="auto" w:fill="auto"/>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700: Comprehensive Exam</w:t>
            </w:r>
          </w:p>
        </w:tc>
        <w:tc>
          <w:tcPr>
            <w:tcW w:w="2700" w:type="dxa"/>
            <w:shd w:val="clear" w:color="auto" w:fill="auto"/>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5C1F75" w:rsidRPr="00F4333D" w:rsidTr="00A565EA">
        <w:trPr>
          <w:trHeight w:val="432"/>
        </w:trPr>
        <w:tc>
          <w:tcPr>
            <w:tcW w:w="2785" w:type="dxa"/>
            <w:shd w:val="clear" w:color="auto" w:fill="auto"/>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579: Language &amp; Literacy for Second Language Learners</w:t>
            </w:r>
          </w:p>
        </w:tc>
        <w:tc>
          <w:tcPr>
            <w:tcW w:w="2633" w:type="dxa"/>
            <w:shd w:val="clear" w:color="auto" w:fill="auto"/>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EAAAA" w:themeFill="background2" w:themeFillShade="BF"/>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5C1F75" w:rsidRPr="00F4333D" w:rsidTr="00A565EA">
        <w:trPr>
          <w:trHeight w:val="432"/>
        </w:trPr>
        <w:tc>
          <w:tcPr>
            <w:tcW w:w="2785" w:type="dxa"/>
            <w:shd w:val="clear" w:color="auto" w:fill="auto"/>
            <w:vAlign w:val="center"/>
          </w:tcPr>
          <w:p w:rsidR="005C1F75"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597: Independent Study</w:t>
            </w:r>
          </w:p>
        </w:tc>
        <w:tc>
          <w:tcPr>
            <w:tcW w:w="2633" w:type="dxa"/>
            <w:shd w:val="clear" w:color="auto" w:fill="auto"/>
            <w:vAlign w:val="center"/>
          </w:tcPr>
          <w:p w:rsidR="005C1F75"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EAAAA" w:themeFill="background2" w:themeFillShade="BF"/>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5C1F75" w:rsidRDefault="005C1F75" w:rsidP="005C1F75">
      <w:pPr>
        <w:spacing w:before="100" w:beforeAutospacing="1" w:after="100" w:afterAutospacing="1" w:line="240" w:lineRule="auto"/>
        <w:contextualSpacing/>
        <w:rPr>
          <w:rFonts w:ascii="Garamond" w:hAnsi="Garamond"/>
          <w:i w:val="0"/>
        </w:rPr>
      </w:pPr>
    </w:p>
    <w:p w:rsidR="005C1F75" w:rsidRPr="00F41FB8" w:rsidRDefault="005C1F75" w:rsidP="00F41FB8">
      <w:pPr>
        <w:spacing w:before="100" w:beforeAutospacing="1" w:after="100" w:afterAutospacing="1" w:line="240" w:lineRule="auto"/>
        <w:contextualSpacing/>
        <w:jc w:val="center"/>
        <w:rPr>
          <w:rFonts w:ascii="Garamond" w:hAnsi="Garamond"/>
          <w:i w:val="0"/>
        </w:rPr>
      </w:pPr>
      <w:r w:rsidRPr="00F41FB8">
        <w:rPr>
          <w:rFonts w:ascii="Garamond" w:hAnsi="Garamond"/>
          <w:b/>
          <w:i w:val="0"/>
        </w:rPr>
        <w:t>Additional Notes</w:t>
      </w:r>
    </w:p>
    <w:p w:rsidR="005C1F75" w:rsidRPr="00F41FB8" w:rsidRDefault="005C1F75" w:rsidP="005C1F75">
      <w:pPr>
        <w:spacing w:before="100" w:beforeAutospacing="1" w:after="100" w:afterAutospacing="1" w:line="240" w:lineRule="auto"/>
        <w:contextualSpacing/>
        <w:rPr>
          <w:rFonts w:ascii="Garamond" w:hAnsi="Garamond"/>
          <w:i w:val="0"/>
        </w:rPr>
      </w:pPr>
      <w:r w:rsidRPr="00F41FB8">
        <w:rPr>
          <w:rFonts w:ascii="Garamond" w:hAnsi="Garamond"/>
          <w:i w:val="0"/>
        </w:rPr>
        <w:t xml:space="preserve">This is a </w:t>
      </w:r>
      <w:r w:rsidRPr="00F41FB8">
        <w:rPr>
          <w:rFonts w:ascii="Garamond" w:hAnsi="Garamond"/>
          <w:b/>
          <w:i w:val="0"/>
          <w:u w:val="single"/>
        </w:rPr>
        <w:t>sample</w:t>
      </w:r>
      <w:r w:rsidRPr="00F41FB8">
        <w:rPr>
          <w:rFonts w:ascii="Garamond" w:hAnsi="Garamond"/>
          <w:i w:val="0"/>
        </w:rPr>
        <w:t xml:space="preserve"> five-year course sequence sheet. Your exact sequence may differ based on input from your advisors, course availability, and other factors, but </w:t>
      </w:r>
      <w:r w:rsidRPr="00F41FB8">
        <w:rPr>
          <w:rFonts w:ascii="Garamond" w:hAnsi="Garamond"/>
          <w:b/>
          <w:i w:val="0"/>
        </w:rPr>
        <w:t xml:space="preserve">Clinical Practice II </w:t>
      </w:r>
      <w:proofErr w:type="gramStart"/>
      <w:r w:rsidRPr="00F41FB8">
        <w:rPr>
          <w:rFonts w:ascii="Garamond" w:hAnsi="Garamond"/>
          <w:b/>
          <w:i w:val="0"/>
        </w:rPr>
        <w:t>must always be taken</w:t>
      </w:r>
      <w:proofErr w:type="gramEnd"/>
      <w:r w:rsidRPr="00F41FB8">
        <w:rPr>
          <w:rFonts w:ascii="Garamond" w:hAnsi="Garamond"/>
          <w:b/>
          <w:i w:val="0"/>
        </w:rPr>
        <w:t xml:space="preserve"> the semester immediately following Clinical Practice I. This is a requirement of the New Jersey Department of Education; failure to do so may affect your ability to </w:t>
      </w:r>
      <w:proofErr w:type="gramStart"/>
      <w:r w:rsidRPr="00F41FB8">
        <w:rPr>
          <w:rFonts w:ascii="Garamond" w:hAnsi="Garamond"/>
          <w:b/>
          <w:i w:val="0"/>
        </w:rPr>
        <w:t>be certified</w:t>
      </w:r>
      <w:proofErr w:type="gramEnd"/>
      <w:r w:rsidRPr="00F41FB8">
        <w:rPr>
          <w:rFonts w:ascii="Garamond" w:hAnsi="Garamond"/>
          <w:b/>
          <w:i w:val="0"/>
        </w:rPr>
        <w:t xml:space="preserve"> in New Jersey.</w:t>
      </w:r>
    </w:p>
    <w:p w:rsidR="005C1F75" w:rsidRPr="00F41FB8" w:rsidRDefault="005C1F75" w:rsidP="005C1F75">
      <w:pPr>
        <w:spacing w:before="100" w:beforeAutospacing="1" w:after="100" w:afterAutospacing="1" w:line="240" w:lineRule="auto"/>
        <w:contextualSpacing/>
        <w:rPr>
          <w:rFonts w:ascii="Garamond" w:hAnsi="Garamond"/>
          <w:i w:val="0"/>
        </w:rPr>
      </w:pPr>
    </w:p>
    <w:p w:rsidR="005C1F75" w:rsidRDefault="005C1F75" w:rsidP="005C1F75">
      <w:pPr>
        <w:spacing w:before="100" w:beforeAutospacing="1" w:after="100" w:afterAutospacing="1" w:line="240" w:lineRule="auto"/>
        <w:contextualSpacing/>
        <w:rPr>
          <w:rFonts w:ascii="Garamond" w:hAnsi="Garamond"/>
          <w:i w:val="0"/>
        </w:rPr>
      </w:pPr>
      <w:r w:rsidRPr="00F41FB8">
        <w:rPr>
          <w:rFonts w:ascii="Garamond" w:hAnsi="Garamond"/>
          <w:i w:val="0"/>
        </w:rPr>
        <w:t>Students must have at least one advisement session with their education advisor and at least one advisement session with their content area advisor each semester prior to registration.</w:t>
      </w:r>
    </w:p>
    <w:p w:rsidR="00F41FB8" w:rsidRDefault="00F41FB8" w:rsidP="005C1F75">
      <w:pPr>
        <w:spacing w:before="100" w:beforeAutospacing="1" w:after="100" w:afterAutospacing="1" w:line="240" w:lineRule="auto"/>
        <w:contextualSpacing/>
        <w:rPr>
          <w:rFonts w:ascii="Garamond" w:hAnsi="Garamond"/>
          <w:i w:val="0"/>
        </w:rPr>
      </w:pPr>
    </w:p>
    <w:p w:rsidR="00F41FB8" w:rsidRDefault="00F41FB8" w:rsidP="00F41FB8">
      <w:pPr>
        <w:spacing w:after="0"/>
      </w:pPr>
      <w:r w:rsidRPr="00805598">
        <w:t>Math Department retention requirements:</w:t>
      </w:r>
    </w:p>
    <w:p w:rsidR="00F41FB8" w:rsidRPr="00F41FB8" w:rsidRDefault="00F41FB8" w:rsidP="005171E5">
      <w:pPr>
        <w:pStyle w:val="ListParagraph"/>
        <w:numPr>
          <w:ilvl w:val="0"/>
          <w:numId w:val="1"/>
        </w:numPr>
        <w:spacing w:after="0" w:line="240" w:lineRule="auto"/>
        <w:rPr>
          <w:b/>
        </w:rPr>
      </w:pPr>
      <w:r w:rsidRPr="00805598">
        <w:t xml:space="preserve">Minimum GPA of 2.00. A 2.5 GPA in the courses MAT 127, 128, 200, 205, 229. </w:t>
      </w:r>
    </w:p>
    <w:p w:rsidR="00F41FB8" w:rsidRPr="00F41FB8" w:rsidRDefault="00F41FB8" w:rsidP="005171E5">
      <w:pPr>
        <w:pStyle w:val="ListParagraph"/>
        <w:numPr>
          <w:ilvl w:val="0"/>
          <w:numId w:val="1"/>
        </w:numPr>
        <w:spacing w:after="0" w:line="240" w:lineRule="auto"/>
        <w:rPr>
          <w:b/>
        </w:rPr>
      </w:pPr>
      <w:r w:rsidRPr="00805598">
        <w:t xml:space="preserve">Minimum of </w:t>
      </w:r>
      <w:proofErr w:type="gramStart"/>
      <w:r w:rsidRPr="00805598">
        <w:t>6</w:t>
      </w:r>
      <w:proofErr w:type="gramEnd"/>
      <w:r w:rsidRPr="00805598">
        <w:t xml:space="preserve"> units in the math major must be earned in the department.  A minimum of </w:t>
      </w:r>
      <w:proofErr w:type="gramStart"/>
      <w:r w:rsidRPr="00805598">
        <w:t>4</w:t>
      </w:r>
      <w:proofErr w:type="gramEnd"/>
      <w:r w:rsidRPr="00805598">
        <w:t xml:space="preserve"> of the final 6 units must be earned in the department.</w:t>
      </w:r>
    </w:p>
    <w:p w:rsidR="00F41FB8" w:rsidRPr="00F41FB8" w:rsidRDefault="00F41FB8" w:rsidP="00E41FD4">
      <w:pPr>
        <w:numPr>
          <w:ilvl w:val="0"/>
          <w:numId w:val="1"/>
        </w:numPr>
        <w:spacing w:before="100" w:beforeAutospacing="1" w:after="100" w:afterAutospacing="1" w:line="240" w:lineRule="auto"/>
        <w:contextualSpacing/>
        <w:rPr>
          <w:rFonts w:ascii="Garamond" w:hAnsi="Garamond"/>
          <w:i w:val="0"/>
        </w:rPr>
      </w:pPr>
      <w:r w:rsidRPr="00805598">
        <w:t xml:space="preserve">At least C- in all MAT courses with the following exception:  at most one grade of D or D+ in a MAT 3xx/4xx course that is not a prerequisite for another course. </w:t>
      </w:r>
    </w:p>
    <w:sectPr w:rsidR="00F41FB8" w:rsidRPr="00F41FB8" w:rsidSect="00632EA5">
      <w:head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7EC" w:rsidRDefault="008767EC" w:rsidP="005C1F75">
      <w:pPr>
        <w:spacing w:after="0" w:line="240" w:lineRule="auto"/>
      </w:pPr>
      <w:r>
        <w:separator/>
      </w:r>
    </w:p>
  </w:endnote>
  <w:endnote w:type="continuationSeparator" w:id="0">
    <w:p w:rsidR="008767EC" w:rsidRDefault="008767EC" w:rsidP="005C1F75">
      <w:pPr>
        <w:spacing w:after="0" w:line="240" w:lineRule="auto"/>
      </w:pPr>
      <w:r>
        <w:continuationSeparator/>
      </w:r>
    </w:p>
  </w:endnote>
  <w:endnote w:id="1">
    <w:p w:rsidR="005C1F75" w:rsidRPr="005C4349" w:rsidRDefault="005C1F75" w:rsidP="005C1F75">
      <w:pPr>
        <w:pStyle w:val="EndnoteText"/>
        <w:rPr>
          <w:rFonts w:ascii="Garamond" w:hAnsi="Garamond"/>
          <w:i w:val="0"/>
        </w:rPr>
      </w:pPr>
      <w:r w:rsidRPr="005C4349">
        <w:rPr>
          <w:rStyle w:val="EndnoteReference"/>
          <w:rFonts w:ascii="Garamond" w:hAnsi="Garamond"/>
          <w:i w:val="0"/>
        </w:rPr>
        <w:endnoteRef/>
      </w:r>
      <w:r w:rsidRPr="005C4349">
        <w:rPr>
          <w:rFonts w:ascii="Garamond" w:hAnsi="Garamond"/>
          <w:i w:val="0"/>
        </w:rPr>
        <w:t xml:space="preserve"> Students may be exempt from this course based upon SAT, ACT, or AP scores. (Please see the Writing Program website for more information.) Students exempt from taking this course should consult with their advisors to see what course </w:t>
      </w:r>
      <w:proofErr w:type="gramStart"/>
      <w:r w:rsidRPr="005C4349">
        <w:rPr>
          <w:rFonts w:ascii="Garamond" w:hAnsi="Garamond"/>
          <w:i w:val="0"/>
        </w:rPr>
        <w:t>should be taken</w:t>
      </w:r>
      <w:proofErr w:type="gramEnd"/>
      <w:r w:rsidRPr="005C4349">
        <w:rPr>
          <w:rFonts w:ascii="Garamond" w:hAnsi="Garamond"/>
          <w:i w:val="0"/>
        </w:rPr>
        <w:t xml:space="preserve"> instead.</w:t>
      </w:r>
    </w:p>
    <w:p w:rsidR="005C1F75" w:rsidRPr="004364EA" w:rsidRDefault="005C1F75" w:rsidP="005C1F75">
      <w:pPr>
        <w:pStyle w:val="EndnoteText"/>
        <w:rPr>
          <w:rFonts w:ascii="Garamond" w:hAnsi="Garamond"/>
          <w:i w:val="0"/>
          <w:sz w:val="10"/>
          <w:szCs w:val="10"/>
        </w:rPr>
      </w:pPr>
      <w:bookmarkStart w:id="0" w:name="_GoBack"/>
    </w:p>
    <w:bookmarkEnd w:id="0"/>
  </w:endnote>
  <w:endnote w:id="2">
    <w:p w:rsidR="005C1F75" w:rsidRDefault="005C1F75" w:rsidP="005C1F75">
      <w:pPr>
        <w:pStyle w:val="EndnoteText"/>
        <w:rPr>
          <w:rFonts w:ascii="Garamond" w:hAnsi="Garamond"/>
          <w:i w:val="0"/>
        </w:rPr>
      </w:pPr>
      <w:r w:rsidRPr="005C4349">
        <w:rPr>
          <w:rStyle w:val="EndnoteReference"/>
          <w:rFonts w:ascii="Garamond" w:hAnsi="Garamond"/>
          <w:i w:val="0"/>
        </w:rPr>
        <w:endnoteRef/>
      </w:r>
      <w:r w:rsidRPr="005C4349">
        <w:rPr>
          <w:rFonts w:ascii="Garamond" w:hAnsi="Garamond"/>
          <w:i w:val="0"/>
        </w:rPr>
        <w:t xml:space="preserve"> The </w:t>
      </w:r>
      <w:r w:rsidRPr="005C4349">
        <w:rPr>
          <w:rFonts w:ascii="Garamond" w:hAnsi="Garamond"/>
          <w:b/>
          <w:i w:val="0"/>
        </w:rPr>
        <w:t xml:space="preserve">global awareness </w:t>
      </w:r>
      <w:r>
        <w:rPr>
          <w:rFonts w:ascii="Garamond" w:hAnsi="Garamond"/>
          <w:i w:val="0"/>
        </w:rPr>
        <w:t xml:space="preserve">and </w:t>
      </w:r>
      <w:r>
        <w:rPr>
          <w:rFonts w:ascii="Garamond" w:hAnsi="Garamond"/>
          <w:b/>
          <w:i w:val="0"/>
        </w:rPr>
        <w:t xml:space="preserve">gender </w:t>
      </w:r>
      <w:r w:rsidRPr="005C4349">
        <w:rPr>
          <w:rFonts w:ascii="Garamond" w:hAnsi="Garamond"/>
          <w:i w:val="0"/>
        </w:rPr>
        <w:t>Liberal Learning requirement</w:t>
      </w:r>
      <w:r>
        <w:rPr>
          <w:rFonts w:ascii="Garamond" w:hAnsi="Garamond"/>
          <w:i w:val="0"/>
        </w:rPr>
        <w:t>s</w:t>
      </w:r>
      <w:r w:rsidRPr="005C4349">
        <w:rPr>
          <w:rFonts w:ascii="Garamond" w:hAnsi="Garamond"/>
          <w:i w:val="0"/>
        </w:rPr>
        <w:t xml:space="preserve"> </w:t>
      </w:r>
      <w:proofErr w:type="gramStart"/>
      <w:r w:rsidRPr="005C4349">
        <w:rPr>
          <w:rFonts w:ascii="Garamond" w:hAnsi="Garamond"/>
          <w:i w:val="0"/>
        </w:rPr>
        <w:t>should be met</w:t>
      </w:r>
      <w:proofErr w:type="gramEnd"/>
      <w:r w:rsidRPr="005C4349">
        <w:rPr>
          <w:rFonts w:ascii="Garamond" w:hAnsi="Garamond"/>
          <w:i w:val="0"/>
        </w:rPr>
        <w:t xml:space="preserve"> through FSP </w:t>
      </w:r>
      <w:r>
        <w:rPr>
          <w:rFonts w:ascii="Garamond" w:hAnsi="Garamond"/>
          <w:i w:val="0"/>
        </w:rPr>
        <w:t>or</w:t>
      </w:r>
      <w:r w:rsidRPr="005C4349">
        <w:rPr>
          <w:rFonts w:ascii="Garamond" w:hAnsi="Garamond"/>
          <w:i w:val="0"/>
        </w:rPr>
        <w:t xml:space="preserve"> VPA courses.</w:t>
      </w:r>
      <w:r>
        <w:rPr>
          <w:rFonts w:ascii="Garamond" w:hAnsi="Garamond"/>
          <w:i w:val="0"/>
        </w:rPr>
        <w:t xml:space="preserve"> </w:t>
      </w:r>
      <w:r w:rsidRPr="00460091">
        <w:rPr>
          <w:rFonts w:ascii="Garamond" w:hAnsi="Garamond"/>
          <w:b/>
          <w:i w:val="0"/>
        </w:rPr>
        <w:t>MAT 106</w:t>
      </w:r>
      <w:r w:rsidRPr="00460091">
        <w:rPr>
          <w:rFonts w:ascii="Garamond" w:hAnsi="Garamond"/>
          <w:i w:val="0"/>
        </w:rPr>
        <w:t xml:space="preserve"> (E</w:t>
      </w:r>
      <w:r>
        <w:rPr>
          <w:rFonts w:ascii="Garamond" w:hAnsi="Garamond"/>
          <w:i w:val="0"/>
        </w:rPr>
        <w:t>C</w:t>
      </w:r>
      <w:r w:rsidRPr="00460091">
        <w:rPr>
          <w:rFonts w:ascii="Garamond" w:hAnsi="Garamond"/>
          <w:i w:val="0"/>
        </w:rPr>
        <w:t xml:space="preserve">E major requirement) </w:t>
      </w:r>
      <w:proofErr w:type="gramStart"/>
      <w:r w:rsidRPr="00460091">
        <w:rPr>
          <w:rFonts w:ascii="Garamond" w:hAnsi="Garamond"/>
          <w:i w:val="0"/>
        </w:rPr>
        <w:t>is superseded</w:t>
      </w:r>
      <w:proofErr w:type="gramEnd"/>
      <w:r w:rsidRPr="00460091">
        <w:rPr>
          <w:rFonts w:ascii="Garamond" w:hAnsi="Garamond"/>
          <w:i w:val="0"/>
        </w:rPr>
        <w:t xml:space="preserve"> by the requirements of the Mathematics major.</w:t>
      </w:r>
    </w:p>
    <w:p w:rsidR="005C1F75" w:rsidRPr="004364EA" w:rsidRDefault="005C1F75" w:rsidP="005C1F75">
      <w:pPr>
        <w:pStyle w:val="EndnoteText"/>
        <w:rPr>
          <w:rFonts w:ascii="Garamond" w:hAnsi="Garamond"/>
          <w:i w:val="0"/>
          <w:sz w:val="10"/>
          <w:szCs w:val="10"/>
        </w:rPr>
      </w:pPr>
    </w:p>
  </w:endnote>
  <w:endnote w:id="3">
    <w:p w:rsidR="005C1F75" w:rsidRPr="005C4349" w:rsidRDefault="005C1F75" w:rsidP="005C1F75">
      <w:pPr>
        <w:pStyle w:val="EndnoteText"/>
        <w:rPr>
          <w:rFonts w:ascii="Garamond" w:hAnsi="Garamond"/>
          <w:i w:val="0"/>
        </w:rPr>
      </w:pPr>
      <w:r w:rsidRPr="005C4349">
        <w:rPr>
          <w:rStyle w:val="EndnoteReference"/>
          <w:rFonts w:ascii="Garamond" w:hAnsi="Garamond"/>
          <w:i w:val="0"/>
        </w:rPr>
        <w:endnoteRef/>
      </w:r>
      <w:r w:rsidRPr="005C4349">
        <w:rPr>
          <w:rFonts w:ascii="Garamond" w:hAnsi="Garamond"/>
          <w:i w:val="0"/>
        </w:rPr>
        <w:t xml:space="preserve"> Students should consult with their Content Area advisor in order to determine which course(s) </w:t>
      </w:r>
      <w:proofErr w:type="gramStart"/>
      <w:r w:rsidRPr="005C4349">
        <w:rPr>
          <w:rFonts w:ascii="Garamond" w:hAnsi="Garamond"/>
          <w:i w:val="0"/>
        </w:rPr>
        <w:t>should be taken</w:t>
      </w:r>
      <w:proofErr w:type="gramEnd"/>
      <w:r w:rsidRPr="005C4349">
        <w:rPr>
          <w:rFonts w:ascii="Garamond" w:hAnsi="Garamond"/>
          <w:i w:val="0"/>
        </w:rPr>
        <w:t xml:space="preserve"> at this time. This is true for all instances of “Content Area” type courses.</w:t>
      </w:r>
    </w:p>
    <w:p w:rsidR="005C1F75" w:rsidRPr="004364EA" w:rsidRDefault="005C1F75" w:rsidP="005C1F75">
      <w:pPr>
        <w:pStyle w:val="EndnoteText"/>
        <w:rPr>
          <w:rFonts w:ascii="Garamond" w:hAnsi="Garamond"/>
          <w:i w:val="0"/>
          <w:sz w:val="10"/>
          <w:szCs w:val="10"/>
        </w:rPr>
      </w:pPr>
    </w:p>
  </w:endnote>
  <w:endnote w:id="4">
    <w:p w:rsidR="005C1F75" w:rsidRPr="005C4349" w:rsidRDefault="005C1F75" w:rsidP="005C1F75">
      <w:pPr>
        <w:pStyle w:val="EndnoteText"/>
        <w:rPr>
          <w:rFonts w:ascii="Garamond" w:hAnsi="Garamond"/>
          <w:i w:val="0"/>
        </w:rPr>
      </w:pPr>
      <w:r w:rsidRPr="005C4349">
        <w:rPr>
          <w:rStyle w:val="EndnoteReference"/>
          <w:rFonts w:ascii="Garamond" w:hAnsi="Garamond"/>
          <w:i w:val="0"/>
        </w:rPr>
        <w:endnoteRef/>
      </w:r>
      <w:r w:rsidRPr="005C4349">
        <w:rPr>
          <w:rFonts w:ascii="Garamond" w:hAnsi="Garamond"/>
          <w:i w:val="0"/>
        </w:rPr>
        <w:t xml:space="preserve"> ECE 201 &amp; RAL 222 constitute the Child Development block of courses and </w:t>
      </w:r>
      <w:proofErr w:type="gramStart"/>
      <w:r w:rsidRPr="005C4349">
        <w:rPr>
          <w:rFonts w:ascii="Garamond" w:hAnsi="Garamond"/>
          <w:i w:val="0"/>
        </w:rPr>
        <w:t>must be taken</w:t>
      </w:r>
      <w:proofErr w:type="gramEnd"/>
      <w:r w:rsidRPr="005C4349">
        <w:rPr>
          <w:rFonts w:ascii="Garamond" w:hAnsi="Garamond"/>
          <w:i w:val="0"/>
        </w:rPr>
        <w:t xml:space="preserve"> together. Students registering for the Child Development block must register for matching course section numbers. (e.g., ECE 201</w:t>
      </w:r>
      <w:r w:rsidRPr="005C4349">
        <w:rPr>
          <w:rFonts w:ascii="Garamond" w:hAnsi="Garamond"/>
          <w:b/>
          <w:i w:val="0"/>
        </w:rPr>
        <w:t>-01</w:t>
      </w:r>
      <w:r w:rsidRPr="005C4349">
        <w:rPr>
          <w:rFonts w:ascii="Garamond" w:hAnsi="Garamond"/>
          <w:i w:val="0"/>
        </w:rPr>
        <w:t xml:space="preserve"> and RAL 222</w:t>
      </w:r>
      <w:r w:rsidRPr="005C4349">
        <w:rPr>
          <w:rFonts w:ascii="Garamond" w:hAnsi="Garamond"/>
          <w:b/>
          <w:i w:val="0"/>
        </w:rPr>
        <w:t>-01</w:t>
      </w:r>
      <w:r w:rsidRPr="005C4349">
        <w:rPr>
          <w:rFonts w:ascii="Garamond" w:hAnsi="Garamond"/>
          <w:i w:val="0"/>
        </w:rPr>
        <w:t>).</w:t>
      </w:r>
    </w:p>
    <w:p w:rsidR="005C1F75" w:rsidRPr="004364EA" w:rsidRDefault="005C1F75" w:rsidP="005C1F75">
      <w:pPr>
        <w:pStyle w:val="EndnoteText"/>
        <w:rPr>
          <w:rFonts w:ascii="Garamond" w:hAnsi="Garamond"/>
          <w:i w:val="0"/>
          <w:sz w:val="10"/>
          <w:szCs w:val="10"/>
        </w:rPr>
      </w:pPr>
    </w:p>
  </w:endnote>
  <w:endnote w:id="5">
    <w:p w:rsidR="005C1F75" w:rsidRPr="005C4349" w:rsidRDefault="005C1F75" w:rsidP="005C1F75">
      <w:pPr>
        <w:pStyle w:val="EndnoteText"/>
        <w:rPr>
          <w:rFonts w:ascii="Garamond" w:hAnsi="Garamond"/>
          <w:i w:val="0"/>
        </w:rPr>
      </w:pPr>
      <w:r w:rsidRPr="005C4349">
        <w:rPr>
          <w:rStyle w:val="EndnoteReference"/>
          <w:rFonts w:ascii="Garamond" w:hAnsi="Garamond"/>
          <w:i w:val="0"/>
        </w:rPr>
        <w:endnoteRef/>
      </w:r>
      <w:r w:rsidRPr="005C4349">
        <w:rPr>
          <w:rFonts w:ascii="Garamond" w:hAnsi="Garamond"/>
          <w:i w:val="0"/>
        </w:rPr>
        <w:t xml:space="preserve"> MST 202 &amp; MTT 202 constitute the MST/MTT block of courses and </w:t>
      </w:r>
      <w:proofErr w:type="gramStart"/>
      <w:r w:rsidRPr="005C4349">
        <w:rPr>
          <w:rFonts w:ascii="Garamond" w:hAnsi="Garamond"/>
          <w:i w:val="0"/>
        </w:rPr>
        <w:t>must be taken</w:t>
      </w:r>
      <w:proofErr w:type="gramEnd"/>
      <w:r w:rsidRPr="005C4349">
        <w:rPr>
          <w:rFonts w:ascii="Garamond" w:hAnsi="Garamond"/>
          <w:i w:val="0"/>
        </w:rPr>
        <w:t xml:space="preserve"> together. Students must apply to take this course block through their education advisor. Applications are typically due one week before the start of registration.</w:t>
      </w:r>
    </w:p>
    <w:p w:rsidR="005C1F75" w:rsidRPr="004364EA" w:rsidRDefault="005C1F75" w:rsidP="005C1F75">
      <w:pPr>
        <w:pStyle w:val="EndnoteText"/>
        <w:rPr>
          <w:rFonts w:ascii="Garamond" w:hAnsi="Garamond"/>
          <w:i w:val="0"/>
          <w:sz w:val="10"/>
          <w:szCs w:val="10"/>
        </w:rPr>
      </w:pPr>
    </w:p>
  </w:endnote>
  <w:endnote w:id="6">
    <w:p w:rsidR="005C1F75" w:rsidRPr="005C4349" w:rsidRDefault="005C1F75" w:rsidP="005C1F75">
      <w:pPr>
        <w:pStyle w:val="EndnoteText"/>
        <w:rPr>
          <w:i w:val="0"/>
        </w:rPr>
      </w:pPr>
      <w:r w:rsidRPr="005C4349">
        <w:rPr>
          <w:rStyle w:val="EndnoteReference"/>
        </w:rPr>
        <w:endnoteRef/>
      </w:r>
      <w:r w:rsidRPr="005C4349">
        <w:t xml:space="preserve"> </w:t>
      </w:r>
      <w:r w:rsidRPr="005C4349">
        <w:rPr>
          <w:rFonts w:ascii="Garamond" w:hAnsi="Garamond"/>
          <w:i w:val="0"/>
        </w:rPr>
        <w:t xml:space="preserve">If BIO 104 </w:t>
      </w:r>
      <w:proofErr w:type="gramStart"/>
      <w:r w:rsidRPr="005C4349">
        <w:rPr>
          <w:rFonts w:ascii="Garamond" w:hAnsi="Garamond"/>
          <w:i w:val="0"/>
        </w:rPr>
        <w:t>is not taken</w:t>
      </w:r>
      <w:proofErr w:type="gramEnd"/>
      <w:r w:rsidRPr="005C4349">
        <w:rPr>
          <w:rFonts w:ascii="Garamond" w:hAnsi="Garamond"/>
          <w:i w:val="0"/>
        </w:rPr>
        <w:t>, the student must complete the Health &amp; Hygiene requirement online.</w:t>
      </w:r>
    </w:p>
    <w:p w:rsidR="005C1F75" w:rsidRPr="004364EA" w:rsidRDefault="005C1F75" w:rsidP="005C1F75">
      <w:pPr>
        <w:pStyle w:val="EndnoteText"/>
        <w:rPr>
          <w:rFonts w:ascii="Garamond" w:hAnsi="Garamond"/>
          <w:i w:val="0"/>
          <w:sz w:val="10"/>
          <w:szCs w:val="10"/>
        </w:rPr>
      </w:pPr>
    </w:p>
  </w:endnote>
  <w:endnote w:id="7">
    <w:p w:rsidR="005C1F75" w:rsidRPr="005C4349" w:rsidRDefault="005C1F75" w:rsidP="005C1F75">
      <w:pPr>
        <w:pStyle w:val="EndnoteText"/>
        <w:rPr>
          <w:rFonts w:ascii="Garamond" w:hAnsi="Garamond"/>
          <w:i w:val="0"/>
        </w:rPr>
      </w:pPr>
      <w:r w:rsidRPr="005C4349">
        <w:rPr>
          <w:rStyle w:val="EndnoteReference"/>
          <w:rFonts w:ascii="Garamond" w:hAnsi="Garamond"/>
          <w:i w:val="0"/>
        </w:rPr>
        <w:endnoteRef/>
      </w:r>
      <w:r w:rsidRPr="005C4349">
        <w:rPr>
          <w:rFonts w:ascii="Garamond" w:hAnsi="Garamond"/>
          <w:i w:val="0"/>
        </w:rPr>
        <w:t xml:space="preserve"> By the end of the fourth year, students must have earned a minimum of 32 units (128 credits). Students meeting this requirement </w:t>
      </w:r>
      <w:proofErr w:type="gramStart"/>
      <w:r w:rsidRPr="005C4349">
        <w:rPr>
          <w:rFonts w:ascii="Garamond" w:hAnsi="Garamond"/>
          <w:i w:val="0"/>
        </w:rPr>
        <w:t>will be awarded</w:t>
      </w:r>
      <w:proofErr w:type="gramEnd"/>
      <w:r w:rsidRPr="005C4349">
        <w:rPr>
          <w:rFonts w:ascii="Garamond" w:hAnsi="Garamond"/>
          <w:i w:val="0"/>
        </w:rPr>
        <w:t xml:space="preserve"> a bachelor’s degree in Elementary Education/Liberal Arts without certification. </w:t>
      </w:r>
      <w:r w:rsidRPr="005C4349">
        <w:rPr>
          <w:rFonts w:ascii="Garamond" w:hAnsi="Garamond"/>
          <w:b/>
          <w:i w:val="0"/>
        </w:rPr>
        <w:t xml:space="preserve">Thus, students in this program will need to take at least two </w:t>
      </w:r>
      <w:proofErr w:type="spellStart"/>
      <w:r w:rsidRPr="005C4349">
        <w:rPr>
          <w:rFonts w:ascii="Garamond" w:hAnsi="Garamond"/>
          <w:b/>
          <w:i w:val="0"/>
        </w:rPr>
        <w:t>Maymester</w:t>
      </w:r>
      <w:proofErr w:type="spellEnd"/>
      <w:r w:rsidRPr="005C4349">
        <w:rPr>
          <w:rFonts w:ascii="Garamond" w:hAnsi="Garamond"/>
          <w:b/>
          <w:i w:val="0"/>
        </w:rPr>
        <w:t>, summer, or winter session courses or take a course overload in one or more regular academic semester.</w:t>
      </w:r>
      <w:r w:rsidRPr="005C4349">
        <w:rPr>
          <w:rFonts w:ascii="Garamond" w:hAnsi="Garamond"/>
          <w:i w:val="0"/>
        </w:rPr>
        <w:t xml:space="preserve"> Students should consult with their advisors to see when these courses </w:t>
      </w:r>
      <w:proofErr w:type="gramStart"/>
      <w:r w:rsidRPr="005C4349">
        <w:rPr>
          <w:rFonts w:ascii="Garamond" w:hAnsi="Garamond"/>
          <w:i w:val="0"/>
        </w:rPr>
        <w:t>should be taken</w:t>
      </w:r>
      <w:proofErr w:type="gramEnd"/>
      <w:r w:rsidRPr="005C4349">
        <w:rPr>
          <w:rFonts w:ascii="Garamond" w:hAnsi="Garamond"/>
          <w:i w:val="0"/>
        </w:rPr>
        <w:t xml:space="preserve">. The courses to </w:t>
      </w:r>
      <w:proofErr w:type="gramStart"/>
      <w:r w:rsidRPr="005C4349">
        <w:rPr>
          <w:rFonts w:ascii="Garamond" w:hAnsi="Garamond"/>
          <w:i w:val="0"/>
        </w:rPr>
        <w:t>be taken</w:t>
      </w:r>
      <w:proofErr w:type="gramEnd"/>
      <w:r w:rsidRPr="005C4349">
        <w:rPr>
          <w:rFonts w:ascii="Garamond" w:hAnsi="Garamond"/>
          <w:i w:val="0"/>
        </w:rPr>
        <w:t xml:space="preserve"> in </w:t>
      </w:r>
      <w:proofErr w:type="spellStart"/>
      <w:r w:rsidRPr="005C4349">
        <w:rPr>
          <w:rFonts w:ascii="Garamond" w:hAnsi="Garamond"/>
          <w:i w:val="0"/>
        </w:rPr>
        <w:t>Maymester</w:t>
      </w:r>
      <w:proofErr w:type="spellEnd"/>
      <w:r w:rsidRPr="005C4349">
        <w:rPr>
          <w:rFonts w:ascii="Garamond" w:hAnsi="Garamond"/>
          <w:i w:val="0"/>
        </w:rPr>
        <w:t>, summer, or winter session should fulfill the one Mathematics major requirement and the U.S. History requirement.</w:t>
      </w:r>
    </w:p>
    <w:p w:rsidR="005C1F75" w:rsidRPr="004364EA" w:rsidRDefault="005C1F75" w:rsidP="005C1F75">
      <w:pPr>
        <w:pStyle w:val="EndnoteText"/>
        <w:rPr>
          <w:rFonts w:ascii="Garamond" w:hAnsi="Garamond"/>
          <w:i w:val="0"/>
          <w:sz w:val="10"/>
          <w:szCs w:val="10"/>
        </w:rPr>
      </w:pPr>
    </w:p>
  </w:endnote>
  <w:endnote w:id="8">
    <w:p w:rsidR="005C1F75" w:rsidRPr="005C4349" w:rsidRDefault="005C1F75" w:rsidP="005C1F75">
      <w:pPr>
        <w:pStyle w:val="EndnoteText"/>
        <w:rPr>
          <w:rFonts w:ascii="Garamond" w:hAnsi="Garamond"/>
          <w:i w:val="0"/>
        </w:rPr>
      </w:pPr>
      <w:r w:rsidRPr="005C4349">
        <w:rPr>
          <w:rStyle w:val="EndnoteReference"/>
          <w:rFonts w:ascii="Garamond" w:hAnsi="Garamond"/>
          <w:i w:val="0"/>
        </w:rPr>
        <w:endnoteRef/>
      </w:r>
      <w:r w:rsidRPr="005C4349">
        <w:rPr>
          <w:rFonts w:ascii="Garamond" w:hAnsi="Garamond"/>
          <w:i w:val="0"/>
        </w:rPr>
        <w:t xml:space="preserve"> Summer courses may be taken abroad as part of Off-Site Graduate Programs’ course offerings. Please see your advisor for more details.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F02" w:rsidRPr="00500F02" w:rsidRDefault="006153E9">
    <w:pPr>
      <w:pStyle w:val="Footer"/>
      <w:rPr>
        <w:rFonts w:ascii="Garamond" w:hAnsi="Garamond"/>
      </w:rPr>
    </w:pPr>
    <w:r w:rsidRPr="00500F02">
      <w:rPr>
        <w:rFonts w:ascii="Garamond" w:hAnsi="Garamond"/>
      </w:rPr>
      <w:t xml:space="preserve">Updated </w:t>
    </w:r>
    <w:r w:rsidR="004364EA">
      <w:rPr>
        <w:rFonts w:ascii="Garamond" w:hAnsi="Garamond"/>
      </w:rPr>
      <w:t>7/11/19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7EC" w:rsidRDefault="008767EC" w:rsidP="005C1F75">
      <w:pPr>
        <w:spacing w:after="0" w:line="240" w:lineRule="auto"/>
      </w:pPr>
      <w:r>
        <w:separator/>
      </w:r>
    </w:p>
  </w:footnote>
  <w:footnote w:type="continuationSeparator" w:id="0">
    <w:p w:rsidR="008767EC" w:rsidRDefault="008767EC" w:rsidP="005C1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F4333D" w:rsidRDefault="008767EC" w:rsidP="00632EA5">
    <w:pPr>
      <w:pStyle w:val="Header"/>
      <w:jc w:val="center"/>
      <w:rPr>
        <w:rFonts w:ascii="Garamond" w:hAnsi="Garamond"/>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632EA5" w:rsidRDefault="006153E9" w:rsidP="00632EA5">
    <w:pPr>
      <w:pStyle w:val="Header"/>
      <w:jc w:val="center"/>
      <w:rPr>
        <w:rFonts w:ascii="Garamond" w:hAnsi="Garamond"/>
      </w:rPr>
    </w:pPr>
    <w:r w:rsidRPr="00632EA5">
      <w:rPr>
        <w:rFonts w:ascii="Garamond" w:hAnsi="Garamond"/>
      </w:rPr>
      <w:t>The Department of Elementary &amp; Early Childhood Education</w:t>
    </w:r>
  </w:p>
  <w:p w:rsidR="00632EA5" w:rsidRPr="00632EA5" w:rsidRDefault="006153E9" w:rsidP="00632EA5">
    <w:pPr>
      <w:pStyle w:val="Header"/>
      <w:jc w:val="center"/>
      <w:rPr>
        <w:rFonts w:ascii="Garamond" w:hAnsi="Garamond"/>
      </w:rPr>
    </w:pPr>
    <w:r w:rsidRPr="00632EA5">
      <w:rPr>
        <w:rFonts w:ascii="Garamond" w:hAnsi="Garamond"/>
      </w:rPr>
      <w:t>School of Education – The College of New Jersey</w:t>
    </w:r>
  </w:p>
  <w:p w:rsidR="00632EA5" w:rsidRPr="00632EA5" w:rsidRDefault="008767EC" w:rsidP="00632EA5">
    <w:pPr>
      <w:pStyle w:val="Header"/>
      <w:jc w:val="center"/>
      <w:rPr>
        <w:rFonts w:ascii="Garamond" w:hAnsi="Garamond"/>
      </w:rPr>
    </w:pPr>
  </w:p>
  <w:p w:rsidR="00632EA5" w:rsidRPr="00632EA5" w:rsidRDefault="006153E9" w:rsidP="00632EA5">
    <w:pPr>
      <w:pStyle w:val="Header"/>
      <w:jc w:val="center"/>
      <w:rPr>
        <w:rFonts w:ascii="Garamond" w:hAnsi="Garamond"/>
      </w:rPr>
    </w:pPr>
    <w:r>
      <w:rPr>
        <w:rFonts w:ascii="Garamond" w:hAnsi="Garamond"/>
      </w:rPr>
      <w:t>Urban/Early Childhood/Math</w:t>
    </w:r>
    <w:r w:rsidRPr="00632EA5">
      <w:rPr>
        <w:rFonts w:ascii="Garamond" w:hAnsi="Garamond"/>
      </w:rPr>
      <w:t xml:space="preserve"> – </w:t>
    </w:r>
    <w:r>
      <w:rPr>
        <w:rFonts w:ascii="Garamond" w:hAnsi="Garamond"/>
      </w:rPr>
      <w:t>Five</w:t>
    </w:r>
    <w:r w:rsidRPr="00632EA5">
      <w:rPr>
        <w:rFonts w:ascii="Garamond" w:hAnsi="Garamond"/>
      </w:rPr>
      <w:t>-Year Course Sequence</w:t>
    </w:r>
    <w:r w:rsidR="004364EA">
      <w:rPr>
        <w:rFonts w:ascii="Garamond" w:hAnsi="Garamond"/>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A1D0F"/>
    <w:multiLevelType w:val="hybridMultilevel"/>
    <w:tmpl w:val="30A0C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F75"/>
    <w:rsid w:val="001C392E"/>
    <w:rsid w:val="004364EA"/>
    <w:rsid w:val="00554982"/>
    <w:rsid w:val="005C1F75"/>
    <w:rsid w:val="006153E9"/>
    <w:rsid w:val="008767EC"/>
    <w:rsid w:val="00AC3ED9"/>
    <w:rsid w:val="00F4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A06EE"/>
  <w15:chartTrackingRefBased/>
  <w15:docId w15:val="{84BC903C-621D-4340-AA62-7C7DBE24C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F75"/>
    <w:pPr>
      <w:spacing w:after="200" w:line="288" w:lineRule="auto"/>
    </w:pPr>
    <w:rPr>
      <w:rFonts w:ascii="Calibri" w:eastAsia="Times New Roman" w:hAnsi="Calibri" w:cs="Times New Roman"/>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F7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HeaderChar">
    <w:name w:val="Header Char"/>
    <w:basedOn w:val="DefaultParagraphFont"/>
    <w:link w:val="Header"/>
    <w:uiPriority w:val="99"/>
    <w:rsid w:val="005C1F75"/>
    <w:rPr>
      <w:rFonts w:ascii="Times New Roman" w:hAnsi="Times New Roman"/>
      <w:sz w:val="24"/>
    </w:rPr>
  </w:style>
  <w:style w:type="paragraph" w:styleId="Footer">
    <w:name w:val="footer"/>
    <w:basedOn w:val="Normal"/>
    <w:link w:val="FooterChar"/>
    <w:uiPriority w:val="99"/>
    <w:unhideWhenUsed/>
    <w:rsid w:val="005C1F7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FooterChar">
    <w:name w:val="Footer Char"/>
    <w:basedOn w:val="DefaultParagraphFont"/>
    <w:link w:val="Footer"/>
    <w:uiPriority w:val="99"/>
    <w:rsid w:val="005C1F75"/>
    <w:rPr>
      <w:rFonts w:ascii="Times New Roman" w:hAnsi="Times New Roman"/>
      <w:sz w:val="24"/>
    </w:rPr>
  </w:style>
  <w:style w:type="paragraph" w:styleId="EndnoteText">
    <w:name w:val="endnote text"/>
    <w:basedOn w:val="Normal"/>
    <w:link w:val="EndnoteTextChar"/>
    <w:uiPriority w:val="99"/>
    <w:semiHidden/>
    <w:unhideWhenUsed/>
    <w:rsid w:val="005C1F75"/>
    <w:pPr>
      <w:spacing w:after="0" w:line="240" w:lineRule="auto"/>
    </w:pPr>
  </w:style>
  <w:style w:type="character" w:customStyle="1" w:styleId="EndnoteTextChar">
    <w:name w:val="Endnote Text Char"/>
    <w:basedOn w:val="DefaultParagraphFont"/>
    <w:link w:val="EndnoteText"/>
    <w:uiPriority w:val="99"/>
    <w:semiHidden/>
    <w:rsid w:val="005C1F75"/>
    <w:rPr>
      <w:rFonts w:ascii="Calibri" w:eastAsia="Times New Roman" w:hAnsi="Calibri" w:cs="Times New Roman"/>
      <w:i/>
      <w:iCs/>
      <w:sz w:val="20"/>
      <w:szCs w:val="20"/>
      <w:lang w:bidi="en-US"/>
    </w:rPr>
  </w:style>
  <w:style w:type="character" w:styleId="EndnoteReference">
    <w:name w:val="endnote reference"/>
    <w:basedOn w:val="DefaultParagraphFont"/>
    <w:uiPriority w:val="99"/>
    <w:semiHidden/>
    <w:unhideWhenUsed/>
    <w:rsid w:val="005C1F75"/>
    <w:rPr>
      <w:vertAlign w:val="superscript"/>
    </w:rPr>
  </w:style>
  <w:style w:type="paragraph" w:styleId="ListParagraph">
    <w:name w:val="List Paragraph"/>
    <w:basedOn w:val="Normal"/>
    <w:uiPriority w:val="34"/>
    <w:qFormat/>
    <w:rsid w:val="00F41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The College of New Jersey</cp:lastModifiedBy>
  <cp:revision>2</cp:revision>
  <dcterms:created xsi:type="dcterms:W3CDTF">2019-07-11T14:50:00Z</dcterms:created>
  <dcterms:modified xsi:type="dcterms:W3CDTF">2019-07-11T14:50:00Z</dcterms:modified>
</cp:coreProperties>
</file>